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05FE5" w14:textId="77777777" w:rsidR="00BA498E" w:rsidRDefault="00BA498E" w:rsidP="00BA498E">
      <w:pPr>
        <w:jc w:val="center"/>
        <w:rPr>
          <w:rFonts w:ascii="Arial" w:hAnsi="Arial" w:cs="Arial"/>
          <w:b/>
          <w:sz w:val="28"/>
          <w:szCs w:val="28"/>
        </w:rPr>
      </w:pPr>
    </w:p>
    <w:p w14:paraId="2E09F731" w14:textId="7CB73FB5" w:rsidR="00BA519A" w:rsidRDefault="00BA519A" w:rsidP="00BA498E">
      <w:pPr>
        <w:jc w:val="center"/>
        <w:rPr>
          <w:rFonts w:ascii="Arial" w:hAnsi="Arial" w:cs="Arial"/>
          <w:b/>
          <w:sz w:val="28"/>
          <w:szCs w:val="28"/>
        </w:rPr>
      </w:pPr>
      <w:r w:rsidRPr="00BA519A">
        <w:rPr>
          <w:rFonts w:ascii="Arial" w:hAnsi="Arial" w:cs="Arial"/>
          <w:b/>
          <w:sz w:val="28"/>
          <w:szCs w:val="28"/>
        </w:rPr>
        <w:t>IVAI resuelve 254 quejas ciudadanas</w:t>
      </w:r>
    </w:p>
    <w:p w14:paraId="1D140E59" w14:textId="77777777" w:rsidR="00BA519A" w:rsidRPr="00BA498E" w:rsidRDefault="00BA519A" w:rsidP="00BA519A">
      <w:pPr>
        <w:rPr>
          <w:rFonts w:ascii="Arial" w:hAnsi="Arial" w:cs="Arial"/>
          <w:b/>
          <w:sz w:val="22"/>
          <w:szCs w:val="22"/>
        </w:rPr>
      </w:pPr>
    </w:p>
    <w:p w14:paraId="73F60BAE" w14:textId="77777777" w:rsidR="00BA519A" w:rsidRPr="00BA498E" w:rsidRDefault="00BA519A" w:rsidP="00BA519A">
      <w:pPr>
        <w:pStyle w:val="Prrafodelista"/>
        <w:numPr>
          <w:ilvl w:val="0"/>
          <w:numId w:val="27"/>
        </w:numPr>
        <w:rPr>
          <w:rFonts w:ascii="Arial" w:hAnsi="Arial" w:cs="Arial"/>
          <w:sz w:val="22"/>
          <w:szCs w:val="22"/>
        </w:rPr>
      </w:pPr>
      <w:r w:rsidRPr="00BA498E">
        <w:rPr>
          <w:rFonts w:ascii="Arial" w:hAnsi="Arial" w:cs="Arial"/>
          <w:sz w:val="22"/>
          <w:szCs w:val="22"/>
        </w:rPr>
        <w:t>58 fueron denuncias por incumplimiento a obligaciones de transparencia</w:t>
      </w:r>
    </w:p>
    <w:p w14:paraId="29DD583C" w14:textId="59F9424D" w:rsidR="00BA519A" w:rsidRPr="00BA498E" w:rsidRDefault="00BA519A" w:rsidP="00BA519A">
      <w:pPr>
        <w:pStyle w:val="Prrafodelista"/>
        <w:numPr>
          <w:ilvl w:val="0"/>
          <w:numId w:val="27"/>
        </w:numPr>
        <w:rPr>
          <w:rFonts w:ascii="Arial" w:hAnsi="Arial" w:cs="Arial"/>
          <w:sz w:val="22"/>
          <w:szCs w:val="22"/>
        </w:rPr>
      </w:pPr>
      <w:r w:rsidRPr="00BA498E">
        <w:rPr>
          <w:rFonts w:ascii="Arial" w:hAnsi="Arial" w:cs="Arial"/>
          <w:sz w:val="22"/>
          <w:szCs w:val="22"/>
        </w:rPr>
        <w:t>El pleno ordena por unanimidad transparentar nómina de ayuntamiento</w:t>
      </w:r>
    </w:p>
    <w:p w14:paraId="4A7171E4" w14:textId="0415F056" w:rsidR="00BA519A" w:rsidRPr="00BA519A" w:rsidRDefault="00BA519A" w:rsidP="00BA519A">
      <w:pPr>
        <w:pStyle w:val="Prrafodelista"/>
        <w:rPr>
          <w:rFonts w:ascii="Arial" w:hAnsi="Arial" w:cs="Arial"/>
        </w:rPr>
      </w:pPr>
    </w:p>
    <w:p w14:paraId="5BB99666" w14:textId="2B8ECC57" w:rsidR="00BA519A" w:rsidRDefault="00BA519A" w:rsidP="00BA519A">
      <w:pPr>
        <w:rPr>
          <w:rFonts w:ascii="Arial" w:hAnsi="Arial" w:cs="Arial"/>
        </w:rPr>
      </w:pPr>
      <w:r w:rsidRPr="00BA519A">
        <w:rPr>
          <w:rFonts w:ascii="Arial" w:hAnsi="Arial" w:cs="Arial"/>
        </w:rPr>
        <w:t>Xalapa, Ver., 09 de noviembre de 2020.- Integrantes del Pleno del Instituto Veracruzano de Acceso a la Información y Protección de Datos Personales (IVAI) resolvieron 254 recursos de revisión de los cuales 58 fueron Denuncias por Incumplimiento en las Obligaciones de Transparencia (DIOT).</w:t>
      </w:r>
    </w:p>
    <w:p w14:paraId="2041F794" w14:textId="77777777" w:rsidR="00BA519A" w:rsidRPr="00BA519A" w:rsidRDefault="00BA519A" w:rsidP="00BA519A">
      <w:pPr>
        <w:rPr>
          <w:rFonts w:ascii="Arial" w:hAnsi="Arial" w:cs="Arial"/>
        </w:rPr>
      </w:pPr>
    </w:p>
    <w:p w14:paraId="79CBAF6D" w14:textId="1DC3B7AB" w:rsidR="00BA519A" w:rsidRDefault="00BA519A" w:rsidP="00BA519A">
      <w:pPr>
        <w:rPr>
          <w:rFonts w:ascii="Arial" w:hAnsi="Arial" w:cs="Arial"/>
        </w:rPr>
      </w:pPr>
      <w:r w:rsidRPr="00BA519A">
        <w:rPr>
          <w:rFonts w:ascii="Arial" w:hAnsi="Arial" w:cs="Arial"/>
        </w:rPr>
        <w:t>En la décima primera sesión extraordinaria del Pleno, las comisionadas Naldy Patricia Rodríguez Lagunes, María Magda Zayas Muñoz y el comisionado José Alfredo Corona Lizárraga, aprobaron recursos de revisión en contra de 81 ayuntamientos y 47 en contra del poder ejecutivo.</w:t>
      </w:r>
    </w:p>
    <w:p w14:paraId="7869D8DC" w14:textId="77777777" w:rsidR="00BA519A" w:rsidRPr="00BA519A" w:rsidRDefault="00BA519A" w:rsidP="00BA519A">
      <w:pPr>
        <w:rPr>
          <w:rFonts w:ascii="Arial" w:hAnsi="Arial" w:cs="Arial"/>
        </w:rPr>
      </w:pPr>
    </w:p>
    <w:p w14:paraId="1615E9C7" w14:textId="0FB1638A" w:rsidR="00BA519A" w:rsidRDefault="00BA519A" w:rsidP="00BA519A">
      <w:pPr>
        <w:rPr>
          <w:rFonts w:ascii="Arial" w:hAnsi="Arial" w:cs="Arial"/>
        </w:rPr>
      </w:pPr>
      <w:r w:rsidRPr="00BA519A">
        <w:rPr>
          <w:rFonts w:ascii="Arial" w:hAnsi="Arial" w:cs="Arial"/>
        </w:rPr>
        <w:t>De igual manera 33 recursos de revisión de organismos autónomos, nueve de entidades paraestatales, 10 de paramunicipales, nueve para el poder judicial, cinco contra el poder legislativo y dos para partidos políticos.</w:t>
      </w:r>
    </w:p>
    <w:p w14:paraId="2344631A" w14:textId="77777777" w:rsidR="00BA519A" w:rsidRPr="00BA519A" w:rsidRDefault="00BA519A" w:rsidP="00BA519A">
      <w:pPr>
        <w:rPr>
          <w:rFonts w:ascii="Arial" w:hAnsi="Arial" w:cs="Arial"/>
        </w:rPr>
      </w:pPr>
    </w:p>
    <w:p w14:paraId="61B63076" w14:textId="119A983E" w:rsidR="00BA519A" w:rsidRDefault="00BA519A" w:rsidP="00BA519A">
      <w:pPr>
        <w:rPr>
          <w:rFonts w:ascii="Arial" w:hAnsi="Arial" w:cs="Arial"/>
        </w:rPr>
      </w:pPr>
      <w:r w:rsidRPr="00BA519A">
        <w:rPr>
          <w:rFonts w:ascii="Arial" w:hAnsi="Arial" w:cs="Arial"/>
        </w:rPr>
        <w:t>La comisionada presidenta del IVAI, Naldy Patricia Rodríguez Lagunes, votó como concurrentes dos expedientes: IVAI-REV/2323/2019/II, IVAI-REV/574/2020/II y emitió un voto en particular del expediente: IVAI-REV/441/2020/II.</w:t>
      </w:r>
    </w:p>
    <w:p w14:paraId="72CF340C" w14:textId="77777777" w:rsidR="00BA519A" w:rsidRPr="00BA519A" w:rsidRDefault="00BA519A" w:rsidP="00BA519A">
      <w:pPr>
        <w:rPr>
          <w:rFonts w:ascii="Arial" w:hAnsi="Arial" w:cs="Arial"/>
        </w:rPr>
      </w:pPr>
    </w:p>
    <w:p w14:paraId="256E0F69" w14:textId="120CB30A" w:rsidR="00BA519A" w:rsidRDefault="00BA519A" w:rsidP="00BA519A">
      <w:pPr>
        <w:rPr>
          <w:rFonts w:ascii="Arial" w:hAnsi="Arial" w:cs="Arial"/>
        </w:rPr>
      </w:pPr>
      <w:r w:rsidRPr="00BA519A">
        <w:rPr>
          <w:rFonts w:ascii="Arial" w:hAnsi="Arial" w:cs="Arial"/>
        </w:rPr>
        <w:t>En tanto la comisionada María Magda Zayas Muños, realizó voto concurrente en los expedientes: IVAI-REV/445/2020/I y en el IVAI-REV/586/2020/I; por su parte el comisionado José Alfredo Corona Lizárraga, realizó voto particular en los expedientes: IVAI-REV/454/2020/I y concurrente en los expedientes: IVAI-REV/376/2020/I, IVAI-REV/445/2020/I  y en el IVAI-REV/462/2020/I.</w:t>
      </w:r>
    </w:p>
    <w:p w14:paraId="0C3D31B8" w14:textId="77777777" w:rsidR="00BA519A" w:rsidRPr="00BA519A" w:rsidRDefault="00BA519A" w:rsidP="00BA519A">
      <w:pPr>
        <w:rPr>
          <w:rFonts w:ascii="Arial" w:hAnsi="Arial" w:cs="Arial"/>
        </w:rPr>
      </w:pPr>
    </w:p>
    <w:p w14:paraId="0A52023E" w14:textId="2C19D378" w:rsidR="00BA519A" w:rsidRDefault="00BA519A" w:rsidP="00BA519A">
      <w:pPr>
        <w:rPr>
          <w:rFonts w:ascii="Arial" w:hAnsi="Arial" w:cs="Arial"/>
        </w:rPr>
      </w:pPr>
      <w:r w:rsidRPr="00BA519A">
        <w:rPr>
          <w:rFonts w:ascii="Arial" w:hAnsi="Arial" w:cs="Arial"/>
        </w:rPr>
        <w:t>Durante l</w:t>
      </w:r>
      <w:r w:rsidR="00BA498E">
        <w:rPr>
          <w:rFonts w:ascii="Arial" w:hAnsi="Arial" w:cs="Arial"/>
        </w:rPr>
        <w:t>a sesión del IVAI se ordenó al A</w:t>
      </w:r>
      <w:r w:rsidRPr="00BA519A">
        <w:rPr>
          <w:rFonts w:ascii="Arial" w:hAnsi="Arial" w:cs="Arial"/>
        </w:rPr>
        <w:t>yuntamiento de Soledad Atzompa la entrega de nóminas de todo el personal de</w:t>
      </w:r>
      <w:r w:rsidR="000952AB">
        <w:rPr>
          <w:rFonts w:ascii="Arial" w:hAnsi="Arial" w:cs="Arial"/>
        </w:rPr>
        <w:t xml:space="preserve"> los meses</w:t>
      </w:r>
      <w:r w:rsidRPr="00BA519A">
        <w:rPr>
          <w:rFonts w:ascii="Arial" w:hAnsi="Arial" w:cs="Arial"/>
        </w:rPr>
        <w:t xml:space="preserve"> enero y febrero del año 2020 en</w:t>
      </w:r>
      <w:bookmarkStart w:id="0" w:name="_GoBack"/>
      <w:bookmarkEnd w:id="0"/>
      <w:r w:rsidRPr="00BA519A">
        <w:rPr>
          <w:rFonts w:ascii="Arial" w:hAnsi="Arial" w:cs="Arial"/>
        </w:rPr>
        <w:t xml:space="preserve"> el formato en que lo tenga generado, ya que no tiene la obligación de contar con las nóminas en formato electrónico.</w:t>
      </w:r>
    </w:p>
    <w:p w14:paraId="4DE3851A" w14:textId="77777777" w:rsidR="00BA519A" w:rsidRPr="00BA519A" w:rsidRDefault="00BA519A" w:rsidP="00BA519A">
      <w:pPr>
        <w:rPr>
          <w:rFonts w:ascii="Arial" w:hAnsi="Arial" w:cs="Arial"/>
        </w:rPr>
      </w:pPr>
    </w:p>
    <w:p w14:paraId="072CC8DD" w14:textId="1B28140B" w:rsidR="00BA519A" w:rsidRDefault="00BA519A" w:rsidP="00BA519A">
      <w:pPr>
        <w:rPr>
          <w:rFonts w:ascii="Arial" w:hAnsi="Arial" w:cs="Arial"/>
        </w:rPr>
      </w:pPr>
      <w:r w:rsidRPr="00BA519A">
        <w:rPr>
          <w:rFonts w:ascii="Arial" w:hAnsi="Arial" w:cs="Arial"/>
        </w:rPr>
        <w:t xml:space="preserve">Lo anterior </w:t>
      </w:r>
      <w:r w:rsidR="00BA498E">
        <w:rPr>
          <w:rFonts w:ascii="Arial" w:hAnsi="Arial" w:cs="Arial"/>
        </w:rPr>
        <w:t>luego que el Tesorero de dicho A</w:t>
      </w:r>
      <w:r w:rsidRPr="00BA519A">
        <w:rPr>
          <w:rFonts w:ascii="Arial" w:hAnsi="Arial" w:cs="Arial"/>
        </w:rPr>
        <w:t>yuntamiento, sin mediar acuerdo de Comité de Transparencia, clasificó como confidencial la información requerida por el particular.</w:t>
      </w:r>
    </w:p>
    <w:p w14:paraId="4BD3CA3B" w14:textId="77777777" w:rsidR="00BA519A" w:rsidRPr="00BA519A" w:rsidRDefault="00BA519A" w:rsidP="00BA519A">
      <w:pPr>
        <w:rPr>
          <w:rFonts w:ascii="Arial" w:hAnsi="Arial" w:cs="Arial"/>
        </w:rPr>
      </w:pPr>
    </w:p>
    <w:p w14:paraId="5C226C92" w14:textId="17020B68" w:rsidR="00BA519A" w:rsidRDefault="00BA519A" w:rsidP="00BA519A">
      <w:pPr>
        <w:rPr>
          <w:rFonts w:ascii="Arial" w:hAnsi="Arial" w:cs="Arial"/>
        </w:rPr>
      </w:pPr>
      <w:r w:rsidRPr="00BA519A">
        <w:rPr>
          <w:rFonts w:ascii="Arial" w:hAnsi="Arial" w:cs="Arial"/>
        </w:rPr>
        <w:t>Se explicó que, si bien las nóminas salariales están vinculadas a la fracción VIII del artículo 15 de la Ley de la materia (obligación de transparencia), no son lo mismo, pues lo publicado en dicha fracción atiende a criterios y lineamientos concretos, mientas que la nómina como tal, puede contemplar elementos no considerados en ellos, por eso cuando piden la información los ciudadanos, se ha considerado en asuntos anteriores, para maximizar el derecho de acceso a la información.</w:t>
      </w:r>
    </w:p>
    <w:p w14:paraId="447C63AE" w14:textId="77777777" w:rsidR="00BA519A" w:rsidRPr="00BA519A" w:rsidRDefault="00BA519A" w:rsidP="00BA519A">
      <w:pPr>
        <w:rPr>
          <w:rFonts w:ascii="Arial" w:hAnsi="Arial" w:cs="Arial"/>
        </w:rPr>
      </w:pPr>
    </w:p>
    <w:p w14:paraId="2FAC1646" w14:textId="7308EE50" w:rsidR="00BA519A" w:rsidRDefault="00BA519A" w:rsidP="00BA519A">
      <w:pPr>
        <w:rPr>
          <w:rFonts w:ascii="Arial" w:hAnsi="Arial" w:cs="Arial"/>
        </w:rPr>
      </w:pPr>
      <w:r w:rsidRPr="00BA519A">
        <w:rPr>
          <w:rFonts w:ascii="Arial" w:hAnsi="Arial" w:cs="Arial"/>
        </w:rPr>
        <w:lastRenderedPageBreak/>
        <w:t>Finalmente se resolvió el expediente IVAI-INVS/07/2019 y sus 79 acumulados, en contra del Instituto Veracruzano de Acceso a la Información y Protección da Datos Personales.</w:t>
      </w:r>
    </w:p>
    <w:p w14:paraId="38AB66AD" w14:textId="77777777" w:rsidR="00BA519A" w:rsidRPr="00BA519A" w:rsidRDefault="00BA519A" w:rsidP="00BA519A">
      <w:pPr>
        <w:rPr>
          <w:rFonts w:ascii="Arial" w:hAnsi="Arial" w:cs="Arial"/>
        </w:rPr>
      </w:pPr>
    </w:p>
    <w:p w14:paraId="77DF5138" w14:textId="77777777" w:rsidR="00BA519A" w:rsidRPr="00BA519A" w:rsidRDefault="00BA519A" w:rsidP="00BA519A">
      <w:pPr>
        <w:rPr>
          <w:rFonts w:ascii="Arial" w:hAnsi="Arial" w:cs="Arial"/>
        </w:rPr>
      </w:pPr>
      <w:r w:rsidRPr="00BA519A">
        <w:rPr>
          <w:rFonts w:ascii="Arial" w:hAnsi="Arial" w:cs="Arial"/>
        </w:rPr>
        <w:t xml:space="preserve">Es de destacar que la sesión se transmitió de manera digital a través de las redes sociales del órgano garante como Facebook y YouTube. </w:t>
      </w:r>
    </w:p>
    <w:p w14:paraId="456DABC8" w14:textId="60DE6E6E" w:rsidR="001C54CD" w:rsidRPr="00BA519A" w:rsidRDefault="001C54CD" w:rsidP="00BA519A">
      <w:pPr>
        <w:pStyle w:val="xmsonormal"/>
        <w:shd w:val="clear" w:color="auto" w:fill="FFFFFF"/>
        <w:spacing w:line="235" w:lineRule="atLeast"/>
        <w:jc w:val="center"/>
        <w:rPr>
          <w:rFonts w:ascii="Arial" w:hAnsi="Arial" w:cs="Arial"/>
          <w:b/>
        </w:rPr>
      </w:pPr>
      <w:r w:rsidRPr="00BA519A">
        <w:rPr>
          <w:rFonts w:ascii="Arial" w:hAnsi="Arial" w:cs="Arial"/>
          <w:b/>
          <w:color w:val="000000"/>
        </w:rPr>
        <w:t>---000---</w:t>
      </w:r>
    </w:p>
    <w:sectPr w:rsidR="001C54CD" w:rsidRPr="00BA519A" w:rsidSect="00261190">
      <w:headerReference w:type="even" r:id="rId7"/>
      <w:headerReference w:type="default" r:id="rId8"/>
      <w:footerReference w:type="default" r:id="rId9"/>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C123B" w14:textId="77777777" w:rsidR="00F93484" w:rsidRDefault="00F93484" w:rsidP="0022047A">
      <w:r>
        <w:separator/>
      </w:r>
    </w:p>
  </w:endnote>
  <w:endnote w:type="continuationSeparator" w:id="0">
    <w:p w14:paraId="2A2397A7" w14:textId="77777777" w:rsidR="00F93484" w:rsidRDefault="00F93484"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AFF0" w14:textId="77777777" w:rsidR="00B74E5B" w:rsidRDefault="00F93484">
    <w:pPr>
      <w:pStyle w:val="Piedepgina"/>
      <w:jc w:val="right"/>
    </w:pPr>
  </w:p>
  <w:p w14:paraId="50878CDD" w14:textId="77777777" w:rsidR="00B74E5B" w:rsidRPr="00C33AFE" w:rsidRDefault="00F934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EC5CC" w14:textId="77777777" w:rsidR="00F93484" w:rsidRDefault="00F93484" w:rsidP="0022047A">
      <w:r>
        <w:separator/>
      </w:r>
    </w:p>
  </w:footnote>
  <w:footnote w:type="continuationSeparator" w:id="0">
    <w:p w14:paraId="54C5AC12" w14:textId="77777777" w:rsidR="00F93484" w:rsidRDefault="00F93484" w:rsidP="0022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F353" w14:textId="77777777" w:rsidR="00B74E5B" w:rsidRDefault="00D5788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1815" w14:textId="40844B53"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F9348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F93484" w:rsidP="00BB435D"/>
                </w:txbxContent>
              </v:textbox>
            </v:shape>
          </w:pict>
        </mc:Fallback>
      </mc:AlternateContent>
    </w:r>
    <w:r w:rsidR="00DE5281" w:rsidRPr="00ED0024">
      <w:rPr>
        <w:rFonts w:ascii="Arial Narrow" w:hAnsi="Arial Narrow"/>
        <w:b/>
        <w:sz w:val="20"/>
        <w:szCs w:val="20"/>
      </w:rPr>
      <w:t>BOLETÍN. -</w:t>
    </w:r>
    <w:r w:rsidR="006A6AE4">
      <w:rPr>
        <w:rFonts w:ascii="Arial Narrow" w:hAnsi="Arial Narrow"/>
        <w:b/>
        <w:sz w:val="20"/>
        <w:szCs w:val="20"/>
      </w:rPr>
      <w:t xml:space="preserve"> </w:t>
    </w:r>
    <w:r w:rsidR="006E0C3F">
      <w:rPr>
        <w:rFonts w:ascii="Arial Narrow" w:hAnsi="Arial Narrow"/>
        <w:b/>
        <w:sz w:val="20"/>
        <w:szCs w:val="20"/>
      </w:rPr>
      <w:t>6</w:t>
    </w:r>
    <w:r w:rsidR="00BA519A">
      <w:rPr>
        <w:rFonts w:ascii="Arial Narrow" w:hAnsi="Arial Narrow"/>
        <w:b/>
        <w:sz w:val="20"/>
        <w:szCs w:val="20"/>
      </w:rPr>
      <w:t>2</w:t>
    </w:r>
  </w:p>
  <w:p w14:paraId="62DCA46F" w14:textId="79C748DA" w:rsidR="00B74E5B" w:rsidRPr="00ED0024" w:rsidRDefault="00D84E90" w:rsidP="00C33AFE">
    <w:pPr>
      <w:pStyle w:val="Encabezado"/>
      <w:rPr>
        <w:rFonts w:ascii="Arial Narrow" w:hAnsi="Arial Narrow"/>
        <w:b/>
        <w:sz w:val="20"/>
        <w:szCs w:val="20"/>
      </w:rPr>
    </w:pPr>
    <w:r>
      <w:rPr>
        <w:rFonts w:ascii="Arial Narrow" w:hAnsi="Arial Narrow"/>
        <w:b/>
        <w:sz w:val="20"/>
        <w:szCs w:val="20"/>
      </w:rPr>
      <w:t>0</w:t>
    </w:r>
    <w:r w:rsidR="00BA519A">
      <w:rPr>
        <w:rFonts w:ascii="Arial Narrow" w:hAnsi="Arial Narrow"/>
        <w:b/>
        <w:sz w:val="20"/>
        <w:szCs w:val="20"/>
      </w:rPr>
      <w:t>9</w:t>
    </w:r>
    <w:r w:rsidR="00D5788F">
      <w:rPr>
        <w:rFonts w:ascii="Arial Narrow" w:hAnsi="Arial Narrow"/>
        <w:b/>
        <w:sz w:val="20"/>
        <w:szCs w:val="20"/>
      </w:rPr>
      <w:t>/</w:t>
    </w:r>
    <w:r w:rsidR="00ED287B">
      <w:rPr>
        <w:rFonts w:ascii="Arial Narrow" w:hAnsi="Arial Narrow"/>
        <w:b/>
        <w:sz w:val="20"/>
        <w:szCs w:val="20"/>
      </w:rPr>
      <w:t>1</w:t>
    </w:r>
    <w:r>
      <w:rPr>
        <w:rFonts w:ascii="Arial Narrow" w:hAnsi="Arial Narrow"/>
        <w:b/>
        <w:sz w:val="20"/>
        <w:szCs w:val="20"/>
      </w:rPr>
      <w:t>1</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F93484">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F50"/>
    <w:multiLevelType w:val="hybridMultilevel"/>
    <w:tmpl w:val="1026DF42"/>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8405FB"/>
    <w:multiLevelType w:val="hybridMultilevel"/>
    <w:tmpl w:val="4AA64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383BB0"/>
    <w:multiLevelType w:val="hybridMultilevel"/>
    <w:tmpl w:val="0D4C7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C86604"/>
    <w:multiLevelType w:val="hybridMultilevel"/>
    <w:tmpl w:val="D4DC7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3743D7"/>
    <w:multiLevelType w:val="hybridMultilevel"/>
    <w:tmpl w:val="846CA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6C09B0"/>
    <w:multiLevelType w:val="hybridMultilevel"/>
    <w:tmpl w:val="B828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1C7CD4"/>
    <w:multiLevelType w:val="hybridMultilevel"/>
    <w:tmpl w:val="6C14D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863E12"/>
    <w:multiLevelType w:val="hybridMultilevel"/>
    <w:tmpl w:val="0CAC9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334756"/>
    <w:multiLevelType w:val="hybridMultilevel"/>
    <w:tmpl w:val="D44E6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652EC7"/>
    <w:multiLevelType w:val="hybridMultilevel"/>
    <w:tmpl w:val="CF1C1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AF1B47"/>
    <w:multiLevelType w:val="hybridMultilevel"/>
    <w:tmpl w:val="3392E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5639D4"/>
    <w:multiLevelType w:val="hybridMultilevel"/>
    <w:tmpl w:val="8D2A0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210A13"/>
    <w:multiLevelType w:val="hybridMultilevel"/>
    <w:tmpl w:val="7B804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995E30"/>
    <w:multiLevelType w:val="hybridMultilevel"/>
    <w:tmpl w:val="2B9A1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270ABF"/>
    <w:multiLevelType w:val="hybridMultilevel"/>
    <w:tmpl w:val="EBEA2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2"/>
  </w:num>
  <w:num w:numId="5">
    <w:abstractNumId w:val="20"/>
  </w:num>
  <w:num w:numId="6">
    <w:abstractNumId w:val="25"/>
  </w:num>
  <w:num w:numId="7">
    <w:abstractNumId w:val="15"/>
  </w:num>
  <w:num w:numId="8">
    <w:abstractNumId w:val="1"/>
  </w:num>
  <w:num w:numId="9">
    <w:abstractNumId w:val="4"/>
  </w:num>
  <w:num w:numId="10">
    <w:abstractNumId w:val="7"/>
  </w:num>
  <w:num w:numId="11">
    <w:abstractNumId w:val="24"/>
  </w:num>
  <w:num w:numId="12">
    <w:abstractNumId w:val="8"/>
  </w:num>
  <w:num w:numId="13">
    <w:abstractNumId w:val="5"/>
  </w:num>
  <w:num w:numId="14">
    <w:abstractNumId w:val="12"/>
  </w:num>
  <w:num w:numId="15">
    <w:abstractNumId w:val="11"/>
  </w:num>
  <w:num w:numId="16">
    <w:abstractNumId w:val="0"/>
  </w:num>
  <w:num w:numId="17">
    <w:abstractNumId w:val="21"/>
  </w:num>
  <w:num w:numId="18">
    <w:abstractNumId w:val="19"/>
  </w:num>
  <w:num w:numId="19">
    <w:abstractNumId w:val="17"/>
  </w:num>
  <w:num w:numId="20">
    <w:abstractNumId w:val="16"/>
  </w:num>
  <w:num w:numId="21">
    <w:abstractNumId w:val="22"/>
  </w:num>
  <w:num w:numId="22">
    <w:abstractNumId w:val="23"/>
  </w:num>
  <w:num w:numId="23">
    <w:abstractNumId w:val="14"/>
  </w:num>
  <w:num w:numId="24">
    <w:abstractNumId w:val="9"/>
  </w:num>
  <w:num w:numId="25">
    <w:abstractNumId w:val="10"/>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A"/>
    <w:rsid w:val="00002457"/>
    <w:rsid w:val="000103E2"/>
    <w:rsid w:val="00021486"/>
    <w:rsid w:val="00033141"/>
    <w:rsid w:val="000448D1"/>
    <w:rsid w:val="000744C7"/>
    <w:rsid w:val="000952AB"/>
    <w:rsid w:val="000A0228"/>
    <w:rsid w:val="000A3AC3"/>
    <w:rsid w:val="000C77BB"/>
    <w:rsid w:val="000D0DE6"/>
    <w:rsid w:val="000E3E89"/>
    <w:rsid w:val="000E72EC"/>
    <w:rsid w:val="000F5C88"/>
    <w:rsid w:val="00111A38"/>
    <w:rsid w:val="001151CC"/>
    <w:rsid w:val="00123037"/>
    <w:rsid w:val="0012554F"/>
    <w:rsid w:val="00127619"/>
    <w:rsid w:val="0013569A"/>
    <w:rsid w:val="00185D59"/>
    <w:rsid w:val="00191B2F"/>
    <w:rsid w:val="001C54CD"/>
    <w:rsid w:val="001D299D"/>
    <w:rsid w:val="001E28DE"/>
    <w:rsid w:val="001F6C58"/>
    <w:rsid w:val="00211CCE"/>
    <w:rsid w:val="0022047A"/>
    <w:rsid w:val="002278FD"/>
    <w:rsid w:val="002343AE"/>
    <w:rsid w:val="00261190"/>
    <w:rsid w:val="002679D8"/>
    <w:rsid w:val="002828B1"/>
    <w:rsid w:val="00282B32"/>
    <w:rsid w:val="002A72AA"/>
    <w:rsid w:val="002B13C0"/>
    <w:rsid w:val="002B2EAB"/>
    <w:rsid w:val="002C7674"/>
    <w:rsid w:val="003057F8"/>
    <w:rsid w:val="0030605F"/>
    <w:rsid w:val="00332AA2"/>
    <w:rsid w:val="0033655A"/>
    <w:rsid w:val="0034083C"/>
    <w:rsid w:val="003479C1"/>
    <w:rsid w:val="003A69FF"/>
    <w:rsid w:val="003F432A"/>
    <w:rsid w:val="0041174E"/>
    <w:rsid w:val="004305B4"/>
    <w:rsid w:val="0043135C"/>
    <w:rsid w:val="00431CC3"/>
    <w:rsid w:val="004760EA"/>
    <w:rsid w:val="00477017"/>
    <w:rsid w:val="00487F3A"/>
    <w:rsid w:val="00494309"/>
    <w:rsid w:val="004946C0"/>
    <w:rsid w:val="004C39B1"/>
    <w:rsid w:val="004D5046"/>
    <w:rsid w:val="00502F0B"/>
    <w:rsid w:val="00523925"/>
    <w:rsid w:val="005526F6"/>
    <w:rsid w:val="00570E1B"/>
    <w:rsid w:val="005B43BB"/>
    <w:rsid w:val="005F4801"/>
    <w:rsid w:val="0063771A"/>
    <w:rsid w:val="00644A42"/>
    <w:rsid w:val="00645354"/>
    <w:rsid w:val="0067211E"/>
    <w:rsid w:val="00684B9B"/>
    <w:rsid w:val="00691F2B"/>
    <w:rsid w:val="006A6AE4"/>
    <w:rsid w:val="006B39C3"/>
    <w:rsid w:val="006B7867"/>
    <w:rsid w:val="006C6CE5"/>
    <w:rsid w:val="006D53BD"/>
    <w:rsid w:val="006D7E0F"/>
    <w:rsid w:val="006E0C3F"/>
    <w:rsid w:val="006E773E"/>
    <w:rsid w:val="006F3F6E"/>
    <w:rsid w:val="006F738E"/>
    <w:rsid w:val="00706B20"/>
    <w:rsid w:val="00721A1B"/>
    <w:rsid w:val="0075766B"/>
    <w:rsid w:val="007A1494"/>
    <w:rsid w:val="007A7027"/>
    <w:rsid w:val="007A7CB7"/>
    <w:rsid w:val="00804643"/>
    <w:rsid w:val="00862302"/>
    <w:rsid w:val="008829E6"/>
    <w:rsid w:val="0089234A"/>
    <w:rsid w:val="008B793B"/>
    <w:rsid w:val="008D3930"/>
    <w:rsid w:val="008E1EBE"/>
    <w:rsid w:val="0094490D"/>
    <w:rsid w:val="00954D18"/>
    <w:rsid w:val="00956ACA"/>
    <w:rsid w:val="00973F16"/>
    <w:rsid w:val="009744D6"/>
    <w:rsid w:val="00976046"/>
    <w:rsid w:val="009B55ED"/>
    <w:rsid w:val="009C6013"/>
    <w:rsid w:val="009F5816"/>
    <w:rsid w:val="009F606C"/>
    <w:rsid w:val="00A10EED"/>
    <w:rsid w:val="00A26821"/>
    <w:rsid w:val="00A34939"/>
    <w:rsid w:val="00A36ED7"/>
    <w:rsid w:val="00A66091"/>
    <w:rsid w:val="00A67857"/>
    <w:rsid w:val="00A723C8"/>
    <w:rsid w:val="00A83FDC"/>
    <w:rsid w:val="00A948BB"/>
    <w:rsid w:val="00AD679E"/>
    <w:rsid w:val="00B104CA"/>
    <w:rsid w:val="00B33FE2"/>
    <w:rsid w:val="00B42124"/>
    <w:rsid w:val="00B6188E"/>
    <w:rsid w:val="00B9129C"/>
    <w:rsid w:val="00B946D9"/>
    <w:rsid w:val="00B94DFF"/>
    <w:rsid w:val="00BA498E"/>
    <w:rsid w:val="00BA519A"/>
    <w:rsid w:val="00BA7FD8"/>
    <w:rsid w:val="00BB77D8"/>
    <w:rsid w:val="00BC29CD"/>
    <w:rsid w:val="00BE0397"/>
    <w:rsid w:val="00C0397B"/>
    <w:rsid w:val="00C17E3C"/>
    <w:rsid w:val="00CA0DA6"/>
    <w:rsid w:val="00CC494A"/>
    <w:rsid w:val="00CD3CF0"/>
    <w:rsid w:val="00CE0ABC"/>
    <w:rsid w:val="00CE32E3"/>
    <w:rsid w:val="00D02F62"/>
    <w:rsid w:val="00D07E5C"/>
    <w:rsid w:val="00D1189B"/>
    <w:rsid w:val="00D1284F"/>
    <w:rsid w:val="00D168DD"/>
    <w:rsid w:val="00D31974"/>
    <w:rsid w:val="00D54C95"/>
    <w:rsid w:val="00D5788F"/>
    <w:rsid w:val="00D67F25"/>
    <w:rsid w:val="00D73A32"/>
    <w:rsid w:val="00D84E90"/>
    <w:rsid w:val="00DE5281"/>
    <w:rsid w:val="00DE6D7D"/>
    <w:rsid w:val="00DE7D0A"/>
    <w:rsid w:val="00DF7BD5"/>
    <w:rsid w:val="00E106CF"/>
    <w:rsid w:val="00E37C4B"/>
    <w:rsid w:val="00E67C32"/>
    <w:rsid w:val="00E931E7"/>
    <w:rsid w:val="00EC1321"/>
    <w:rsid w:val="00ED287B"/>
    <w:rsid w:val="00F02994"/>
    <w:rsid w:val="00F12656"/>
    <w:rsid w:val="00F45739"/>
    <w:rsid w:val="00F51FF5"/>
    <w:rsid w:val="00F53BB9"/>
    <w:rsid w:val="00F627C0"/>
    <w:rsid w:val="00F72FB2"/>
    <w:rsid w:val="00F93484"/>
    <w:rsid w:val="00F95919"/>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 w:type="paragraph" w:customStyle="1" w:styleId="xmsonormal">
    <w:name w:val="x_msonormal"/>
    <w:basedOn w:val="Normal"/>
    <w:rsid w:val="00431CC3"/>
    <w:pPr>
      <w:spacing w:before="100" w:beforeAutospacing="1" w:after="100" w:afterAutospacing="1"/>
      <w:jc w:val="left"/>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 w:id="2076928717">
      <w:bodyDiv w:val="1"/>
      <w:marLeft w:val="0"/>
      <w:marRight w:val="0"/>
      <w:marTop w:val="0"/>
      <w:marBottom w:val="0"/>
      <w:divBdr>
        <w:top w:val="none" w:sz="0" w:space="0" w:color="auto"/>
        <w:left w:val="none" w:sz="0" w:space="0" w:color="auto"/>
        <w:bottom w:val="none" w:sz="0" w:space="0" w:color="auto"/>
        <w:right w:val="none" w:sz="0" w:space="0" w:color="auto"/>
      </w:divBdr>
      <w:divsChild>
        <w:div w:id="240523704">
          <w:marLeft w:val="0"/>
          <w:marRight w:val="0"/>
          <w:marTop w:val="0"/>
          <w:marBottom w:val="0"/>
          <w:divBdr>
            <w:top w:val="none" w:sz="0" w:space="0" w:color="auto"/>
            <w:left w:val="none" w:sz="0" w:space="0" w:color="auto"/>
            <w:bottom w:val="none" w:sz="0" w:space="0" w:color="auto"/>
            <w:right w:val="none" w:sz="0" w:space="0" w:color="auto"/>
          </w:divBdr>
        </w:div>
        <w:div w:id="1177690021">
          <w:marLeft w:val="0"/>
          <w:marRight w:val="0"/>
          <w:marTop w:val="0"/>
          <w:marBottom w:val="0"/>
          <w:divBdr>
            <w:top w:val="none" w:sz="0" w:space="0" w:color="auto"/>
            <w:left w:val="none" w:sz="0" w:space="0" w:color="auto"/>
            <w:bottom w:val="none" w:sz="0" w:space="0" w:color="auto"/>
            <w:right w:val="none" w:sz="0" w:space="0" w:color="auto"/>
          </w:divBdr>
          <w:divsChild>
            <w:div w:id="490145097">
              <w:marLeft w:val="0"/>
              <w:marRight w:val="0"/>
              <w:marTop w:val="0"/>
              <w:marBottom w:val="0"/>
              <w:divBdr>
                <w:top w:val="none" w:sz="0" w:space="0" w:color="auto"/>
                <w:left w:val="none" w:sz="0" w:space="0" w:color="auto"/>
                <w:bottom w:val="none" w:sz="0" w:space="0" w:color="auto"/>
                <w:right w:val="none" w:sz="0" w:space="0" w:color="auto"/>
              </w:divBdr>
              <w:divsChild>
                <w:div w:id="1826044346">
                  <w:marLeft w:val="0"/>
                  <w:marRight w:val="0"/>
                  <w:marTop w:val="0"/>
                  <w:marBottom w:val="0"/>
                  <w:divBdr>
                    <w:top w:val="none" w:sz="0" w:space="0" w:color="auto"/>
                    <w:left w:val="none" w:sz="0" w:space="0" w:color="auto"/>
                    <w:bottom w:val="none" w:sz="0" w:space="0" w:color="auto"/>
                    <w:right w:val="none" w:sz="0" w:space="0" w:color="auto"/>
                  </w:divBdr>
                  <w:divsChild>
                    <w:div w:id="1148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2</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DCSI_auxiliar-4</cp:lastModifiedBy>
  <cp:revision>136</cp:revision>
  <dcterms:created xsi:type="dcterms:W3CDTF">2020-05-02T03:22:00Z</dcterms:created>
  <dcterms:modified xsi:type="dcterms:W3CDTF">2020-11-09T20:43:00Z</dcterms:modified>
</cp:coreProperties>
</file>