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3233F" w14:textId="77777777" w:rsidR="002828B1" w:rsidRDefault="002828B1" w:rsidP="00976046">
      <w:pPr>
        <w:pStyle w:val="xmsonormal"/>
        <w:shd w:val="clear" w:color="auto" w:fill="FFFFFF"/>
        <w:spacing w:line="235" w:lineRule="atLeast"/>
        <w:jc w:val="center"/>
        <w:rPr>
          <w:rFonts w:ascii="Arial" w:hAnsi="Arial" w:cs="Arial"/>
          <w:b/>
          <w:color w:val="000000"/>
        </w:rPr>
      </w:pPr>
    </w:p>
    <w:p w14:paraId="002ACA31" w14:textId="77777777" w:rsidR="002828B1" w:rsidRPr="002828B1" w:rsidRDefault="002828B1" w:rsidP="00CE0ABC">
      <w:pPr>
        <w:pStyle w:val="xmsonormal"/>
        <w:shd w:val="clear" w:color="auto" w:fill="FFFFFF"/>
        <w:spacing w:line="235" w:lineRule="atLeast"/>
        <w:jc w:val="center"/>
        <w:rPr>
          <w:rFonts w:ascii="Arial" w:hAnsi="Arial" w:cs="Arial"/>
          <w:b/>
          <w:color w:val="000000"/>
          <w:sz w:val="28"/>
          <w:szCs w:val="28"/>
        </w:rPr>
      </w:pPr>
      <w:r w:rsidRPr="002828B1">
        <w:rPr>
          <w:rFonts w:ascii="Arial" w:hAnsi="Arial" w:cs="Arial"/>
          <w:b/>
          <w:color w:val="000000"/>
          <w:sz w:val="28"/>
          <w:szCs w:val="28"/>
        </w:rPr>
        <w:t>Ante denuncias ciudadanas, IVAI declara 38 incumplimientos de obligaciones</w:t>
      </w:r>
    </w:p>
    <w:p w14:paraId="049B7B5F" w14:textId="0DA734D1" w:rsidR="002828B1" w:rsidRPr="00CE0ABC" w:rsidRDefault="002828B1" w:rsidP="002828B1">
      <w:pPr>
        <w:pStyle w:val="xmsonormal"/>
        <w:numPr>
          <w:ilvl w:val="0"/>
          <w:numId w:val="20"/>
        </w:numPr>
        <w:shd w:val="clear" w:color="auto" w:fill="FFFFFF"/>
        <w:spacing w:line="235" w:lineRule="atLeast"/>
        <w:jc w:val="both"/>
        <w:rPr>
          <w:rFonts w:ascii="Arial" w:hAnsi="Arial" w:cs="Arial"/>
          <w:color w:val="000000"/>
          <w:sz w:val="22"/>
          <w:szCs w:val="22"/>
        </w:rPr>
      </w:pPr>
      <w:r w:rsidRPr="00CE0ABC">
        <w:rPr>
          <w:rFonts w:ascii="Arial" w:hAnsi="Arial" w:cs="Arial"/>
          <w:color w:val="000000"/>
          <w:sz w:val="22"/>
          <w:szCs w:val="22"/>
        </w:rPr>
        <w:t xml:space="preserve">El Pleno también resolvió 232 recursos de revisión </w:t>
      </w:r>
    </w:p>
    <w:p w14:paraId="5BD88D26" w14:textId="62A1F158" w:rsidR="002828B1" w:rsidRPr="00CE0ABC" w:rsidRDefault="002828B1" w:rsidP="002828B1">
      <w:pPr>
        <w:pStyle w:val="xmsonormal"/>
        <w:numPr>
          <w:ilvl w:val="0"/>
          <w:numId w:val="20"/>
        </w:numPr>
        <w:shd w:val="clear" w:color="auto" w:fill="FFFFFF"/>
        <w:spacing w:line="235" w:lineRule="atLeast"/>
        <w:jc w:val="both"/>
        <w:rPr>
          <w:rFonts w:ascii="Arial" w:hAnsi="Arial" w:cs="Arial"/>
          <w:color w:val="000000"/>
          <w:sz w:val="22"/>
          <w:szCs w:val="22"/>
        </w:rPr>
      </w:pPr>
      <w:r w:rsidRPr="00CE0ABC">
        <w:rPr>
          <w:rFonts w:ascii="Arial" w:hAnsi="Arial" w:cs="Arial"/>
          <w:color w:val="000000"/>
          <w:sz w:val="22"/>
          <w:szCs w:val="22"/>
        </w:rPr>
        <w:t>Aprueban convenios con Radio Teocelo y con el ITEI Jalisco</w:t>
      </w:r>
    </w:p>
    <w:p w14:paraId="1DABC9C0" w14:textId="2121EA27" w:rsidR="002828B1" w:rsidRPr="002828B1" w:rsidRDefault="002828B1" w:rsidP="002828B1">
      <w:pPr>
        <w:pStyle w:val="xmsonormal"/>
        <w:shd w:val="clear" w:color="auto" w:fill="FFFFFF"/>
        <w:spacing w:line="235" w:lineRule="atLeast"/>
        <w:jc w:val="both"/>
        <w:rPr>
          <w:rFonts w:ascii="Arial" w:hAnsi="Arial" w:cs="Arial"/>
          <w:color w:val="000000"/>
        </w:rPr>
      </w:pPr>
      <w:r w:rsidRPr="002828B1">
        <w:rPr>
          <w:rFonts w:ascii="Arial" w:hAnsi="Arial" w:cs="Arial"/>
          <w:color w:val="000000"/>
        </w:rPr>
        <w:t xml:space="preserve">Xalapa, </w:t>
      </w:r>
      <w:r w:rsidR="00477017" w:rsidRPr="002828B1">
        <w:rPr>
          <w:rFonts w:ascii="Arial" w:hAnsi="Arial" w:cs="Arial"/>
          <w:color w:val="000000"/>
        </w:rPr>
        <w:t>Ver. -</w:t>
      </w:r>
      <w:r w:rsidRPr="002828B1">
        <w:rPr>
          <w:rFonts w:ascii="Arial" w:hAnsi="Arial" w:cs="Arial"/>
          <w:color w:val="000000"/>
        </w:rPr>
        <w:t xml:space="preserve"> 16 de octubre de 2020.-</w:t>
      </w:r>
      <w:r w:rsidR="000C77BB">
        <w:rPr>
          <w:rFonts w:ascii="Arial" w:hAnsi="Arial" w:cs="Arial"/>
          <w:color w:val="000000"/>
        </w:rPr>
        <w:t xml:space="preserve"> </w:t>
      </w:r>
      <w:r w:rsidRPr="002828B1">
        <w:rPr>
          <w:rFonts w:ascii="Arial" w:hAnsi="Arial" w:cs="Arial"/>
          <w:color w:val="000000"/>
        </w:rPr>
        <w:t>El Pleno del Instituto Veracruzano de Acceso a la Información y Protección de Datos Personales (IVAI) declaró fundadas 38 Denuncias de Incumplimiento de Obligaciones de Transparencia derivado de que las autoridades, en su mayoría ayuntamientos, no acreditaron la publicación de la información que por ley deben tener accesible en sus portales y en la Plataforma Nacional de Transparencia.</w:t>
      </w:r>
    </w:p>
    <w:p w14:paraId="626792D4" w14:textId="56D4655F" w:rsidR="002828B1" w:rsidRPr="002828B1" w:rsidRDefault="002828B1" w:rsidP="002828B1">
      <w:pPr>
        <w:pStyle w:val="xmsonormal"/>
        <w:shd w:val="clear" w:color="auto" w:fill="FFFFFF"/>
        <w:spacing w:line="235" w:lineRule="atLeast"/>
        <w:jc w:val="both"/>
        <w:rPr>
          <w:rFonts w:ascii="Arial" w:hAnsi="Arial" w:cs="Arial"/>
          <w:color w:val="000000"/>
        </w:rPr>
      </w:pPr>
      <w:r w:rsidRPr="002828B1">
        <w:rPr>
          <w:rFonts w:ascii="Arial" w:hAnsi="Arial" w:cs="Arial"/>
          <w:color w:val="000000"/>
        </w:rPr>
        <w:t>En la décima sesión extraordinaria del IVAI, las comisionadas Naldy Patricia Rodríguez Lagunes, María Magda Zayas Muñoz y el comisionado José Alfredo Corona Lizárraga, aprobaron por unanimidad de votos</w:t>
      </w:r>
      <w:r>
        <w:rPr>
          <w:rFonts w:ascii="Arial" w:hAnsi="Arial" w:cs="Arial"/>
          <w:color w:val="000000"/>
        </w:rPr>
        <w:t xml:space="preserve"> </w:t>
      </w:r>
      <w:r w:rsidRPr="002828B1">
        <w:rPr>
          <w:rFonts w:ascii="Arial" w:hAnsi="Arial" w:cs="Arial"/>
          <w:color w:val="000000"/>
        </w:rPr>
        <w:t>un total de 67 resoluciones que comprenden 73 denuncias de personas inconformes con la publicación de las obligaciones de transparencia.</w:t>
      </w:r>
    </w:p>
    <w:p w14:paraId="3A78C52E" w14:textId="3295B0BF" w:rsidR="002828B1" w:rsidRPr="002828B1" w:rsidRDefault="002828B1" w:rsidP="002828B1">
      <w:pPr>
        <w:pStyle w:val="xmsonormal"/>
        <w:shd w:val="clear" w:color="auto" w:fill="FFFFFF"/>
        <w:spacing w:line="235" w:lineRule="atLeast"/>
        <w:jc w:val="both"/>
        <w:rPr>
          <w:rFonts w:ascii="Arial" w:hAnsi="Arial" w:cs="Arial"/>
          <w:color w:val="000000"/>
        </w:rPr>
      </w:pPr>
      <w:r w:rsidRPr="002828B1">
        <w:rPr>
          <w:rFonts w:ascii="Arial" w:hAnsi="Arial" w:cs="Arial"/>
          <w:color w:val="000000"/>
        </w:rPr>
        <w:t>Con los expedientes analizados en esta sesión, suman ya 204</w:t>
      </w:r>
      <w:r w:rsidR="000C77BB">
        <w:rPr>
          <w:rFonts w:ascii="Arial" w:hAnsi="Arial" w:cs="Arial"/>
          <w:color w:val="000000"/>
        </w:rPr>
        <w:t xml:space="preserve"> Denuncias por Incumplimiento de</w:t>
      </w:r>
      <w:r w:rsidRPr="002828B1">
        <w:rPr>
          <w:rFonts w:ascii="Arial" w:hAnsi="Arial" w:cs="Arial"/>
          <w:color w:val="000000"/>
        </w:rPr>
        <w:t xml:space="preserve"> las Obligaciones de Transparencia (DIOT) que se resuelven en las últimas tres sesiones. Dentro de la información que se analizó para verificar su correcta publicación se encuentra</w:t>
      </w:r>
      <w:r w:rsidR="000C77BB">
        <w:rPr>
          <w:rFonts w:ascii="Arial" w:hAnsi="Arial" w:cs="Arial"/>
          <w:color w:val="000000"/>
        </w:rPr>
        <w:t>n</w:t>
      </w:r>
      <w:r w:rsidRPr="002828B1">
        <w:rPr>
          <w:rFonts w:ascii="Arial" w:hAnsi="Arial" w:cs="Arial"/>
          <w:color w:val="000000"/>
        </w:rPr>
        <w:t xml:space="preserve"> salarios, contratos, viáticos, actas, entre otras. </w:t>
      </w:r>
    </w:p>
    <w:p w14:paraId="46313A58" w14:textId="77777777" w:rsidR="002828B1" w:rsidRPr="002828B1" w:rsidRDefault="002828B1" w:rsidP="002828B1">
      <w:pPr>
        <w:pStyle w:val="xmsonormal"/>
        <w:shd w:val="clear" w:color="auto" w:fill="FFFFFF"/>
        <w:spacing w:line="235" w:lineRule="atLeast"/>
        <w:jc w:val="both"/>
        <w:rPr>
          <w:rFonts w:ascii="Arial" w:hAnsi="Arial" w:cs="Arial"/>
          <w:color w:val="000000"/>
        </w:rPr>
      </w:pPr>
      <w:r w:rsidRPr="002828B1">
        <w:rPr>
          <w:rFonts w:ascii="Arial" w:hAnsi="Arial" w:cs="Arial"/>
          <w:color w:val="000000"/>
        </w:rPr>
        <w:t>Quienes integ</w:t>
      </w:r>
      <w:bookmarkStart w:id="0" w:name="_GoBack"/>
      <w:bookmarkEnd w:id="0"/>
      <w:r w:rsidRPr="002828B1">
        <w:rPr>
          <w:rFonts w:ascii="Arial" w:hAnsi="Arial" w:cs="Arial"/>
          <w:color w:val="000000"/>
        </w:rPr>
        <w:t>ran el Pleno también resolvieron 232 recursos de revisión, de los cuales 47 proyectos con sus acumulados corresponden a la Ponencia I, 46 corresponden a proyectos de la Ponencia II y 37 proyectos de la Ponencia III.</w:t>
      </w:r>
    </w:p>
    <w:p w14:paraId="69982A7E" w14:textId="77777777" w:rsidR="002828B1" w:rsidRPr="002828B1" w:rsidRDefault="002828B1" w:rsidP="002828B1">
      <w:pPr>
        <w:pStyle w:val="xmsonormal"/>
        <w:shd w:val="clear" w:color="auto" w:fill="FFFFFF"/>
        <w:spacing w:line="235" w:lineRule="atLeast"/>
        <w:jc w:val="both"/>
        <w:rPr>
          <w:rFonts w:ascii="Arial" w:hAnsi="Arial" w:cs="Arial"/>
          <w:color w:val="000000"/>
        </w:rPr>
      </w:pPr>
      <w:r w:rsidRPr="002828B1">
        <w:rPr>
          <w:rFonts w:ascii="Arial" w:hAnsi="Arial" w:cs="Arial"/>
          <w:color w:val="000000"/>
        </w:rPr>
        <w:t>Durante la sesión, la comisionada presidenta Naldy Patricia Rodríguez Lagunes emitió dos votos particulares y siete concurrentes, mientras que la comisionada María Magda Zayas Muñoz y el comisionado José Alfredo Corona Lizárraga emitieron un voto particular, por lo que uno de los proyectos -el 316/2020/I en contra del sujeto obligado Ayuntamiento de Minatitlán- no fue aprobado y deberá emitirse una nueva resolución.</w:t>
      </w:r>
    </w:p>
    <w:p w14:paraId="0DA30C87" w14:textId="114ED7FE" w:rsidR="002828B1" w:rsidRPr="002828B1" w:rsidRDefault="002828B1" w:rsidP="002828B1">
      <w:pPr>
        <w:pStyle w:val="xmsonormal"/>
        <w:shd w:val="clear" w:color="auto" w:fill="FFFFFF"/>
        <w:spacing w:line="235" w:lineRule="atLeast"/>
        <w:jc w:val="both"/>
        <w:rPr>
          <w:rFonts w:ascii="Arial" w:hAnsi="Arial" w:cs="Arial"/>
          <w:color w:val="000000"/>
        </w:rPr>
      </w:pPr>
      <w:r w:rsidRPr="002828B1">
        <w:rPr>
          <w:rFonts w:ascii="Arial" w:hAnsi="Arial" w:cs="Arial"/>
          <w:color w:val="000000"/>
        </w:rPr>
        <w:t>Las comisionadas y el comisionado también aprobaron un adendum al acuerdo general de regularización de expedientes, para abarcar los que se encuentran en esas condiciones de las denuncias por posibles vulneraciones de datos personales</w:t>
      </w:r>
      <w:r>
        <w:rPr>
          <w:rFonts w:ascii="Arial" w:hAnsi="Arial" w:cs="Arial"/>
          <w:color w:val="000000"/>
        </w:rPr>
        <w:t>.</w:t>
      </w:r>
    </w:p>
    <w:p w14:paraId="432447F9" w14:textId="77777777" w:rsidR="002828B1" w:rsidRPr="002828B1" w:rsidRDefault="002828B1" w:rsidP="002828B1">
      <w:pPr>
        <w:pStyle w:val="xmsonormal"/>
        <w:shd w:val="clear" w:color="auto" w:fill="FFFFFF"/>
        <w:spacing w:line="235" w:lineRule="atLeast"/>
        <w:jc w:val="both"/>
        <w:rPr>
          <w:rFonts w:ascii="Arial" w:hAnsi="Arial" w:cs="Arial"/>
          <w:color w:val="000000"/>
        </w:rPr>
      </w:pPr>
      <w:r w:rsidRPr="002828B1">
        <w:rPr>
          <w:rFonts w:ascii="Arial" w:hAnsi="Arial" w:cs="Arial"/>
          <w:color w:val="000000"/>
        </w:rPr>
        <w:t>Además, se desechó por unanimidad el expediente en materia de datos personales IVAI-INVS/05/2020 por falta de firma autógrafa, como lo establece el artículo 160 de la ley 316.</w:t>
      </w:r>
    </w:p>
    <w:p w14:paraId="3A9CC598" w14:textId="61E9E662" w:rsidR="002828B1" w:rsidRPr="002828B1" w:rsidRDefault="002828B1" w:rsidP="002828B1">
      <w:pPr>
        <w:pStyle w:val="xmsonormal"/>
        <w:shd w:val="clear" w:color="auto" w:fill="FFFFFF"/>
        <w:spacing w:line="235" w:lineRule="atLeast"/>
        <w:jc w:val="both"/>
        <w:rPr>
          <w:rFonts w:ascii="Arial" w:hAnsi="Arial" w:cs="Arial"/>
          <w:color w:val="000000"/>
        </w:rPr>
      </w:pPr>
      <w:r w:rsidRPr="002828B1">
        <w:rPr>
          <w:rFonts w:ascii="Arial" w:hAnsi="Arial" w:cs="Arial"/>
          <w:color w:val="000000"/>
        </w:rPr>
        <w:t xml:space="preserve">Este día también se llevó a cabo, sesión de Órgano de Gobierno, en la que se aprobó la celebración de dos convenios de colaboración, uno con Radio </w:t>
      </w:r>
      <w:r w:rsidRPr="002828B1">
        <w:rPr>
          <w:rFonts w:ascii="Arial" w:hAnsi="Arial" w:cs="Arial"/>
          <w:color w:val="000000"/>
        </w:rPr>
        <w:lastRenderedPageBreak/>
        <w:t>Teocelo, que servirá para la promoción del Derecho de Acceso a la Información y otro con el Instituto de Transparencia, Información Pública y Protección de Datos Personales del Estado de Jalisco (ITEI) para implementar cuadernillos sobre transparencia a estudiantes de nivel básico.</w:t>
      </w:r>
    </w:p>
    <w:p w14:paraId="456DABC8" w14:textId="2B5530B6" w:rsidR="001C54CD" w:rsidRPr="00976046" w:rsidRDefault="001C54CD" w:rsidP="00976046">
      <w:pPr>
        <w:pStyle w:val="xmsonormal"/>
        <w:shd w:val="clear" w:color="auto" w:fill="FFFFFF"/>
        <w:spacing w:line="235" w:lineRule="atLeast"/>
        <w:jc w:val="center"/>
        <w:rPr>
          <w:rFonts w:ascii="Arial" w:hAnsi="Arial" w:cs="Arial"/>
          <w:b/>
        </w:rPr>
      </w:pPr>
      <w:r w:rsidRPr="00976046">
        <w:rPr>
          <w:rFonts w:ascii="Arial" w:hAnsi="Arial" w:cs="Arial"/>
          <w:b/>
          <w:color w:val="000000"/>
        </w:rPr>
        <w:t>---0</w:t>
      </w:r>
      <w:r w:rsidRPr="00BA7FD8">
        <w:rPr>
          <w:rFonts w:ascii="Arial" w:hAnsi="Arial" w:cs="Arial"/>
          <w:b/>
          <w:color w:val="000000"/>
          <w:sz w:val="28"/>
          <w:szCs w:val="28"/>
        </w:rPr>
        <w:t>0</w:t>
      </w:r>
      <w:r w:rsidRPr="00976046">
        <w:rPr>
          <w:rFonts w:ascii="Arial" w:hAnsi="Arial" w:cs="Arial"/>
          <w:b/>
          <w:color w:val="000000"/>
        </w:rPr>
        <w:t>0---</w:t>
      </w:r>
    </w:p>
    <w:sectPr w:rsidR="001C54CD" w:rsidRPr="00976046" w:rsidSect="00261190">
      <w:headerReference w:type="even" r:id="rId7"/>
      <w:headerReference w:type="default" r:id="rId8"/>
      <w:footerReference w:type="default" r:id="rId9"/>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23059" w14:textId="77777777" w:rsidR="005B43BB" w:rsidRDefault="005B43BB" w:rsidP="0022047A">
      <w:r>
        <w:separator/>
      </w:r>
    </w:p>
  </w:endnote>
  <w:endnote w:type="continuationSeparator" w:id="0">
    <w:p w14:paraId="15ADE1C5" w14:textId="77777777" w:rsidR="005B43BB" w:rsidRDefault="005B43BB"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AFF0" w14:textId="77777777" w:rsidR="00B74E5B" w:rsidRDefault="005B43BB">
    <w:pPr>
      <w:pStyle w:val="Piedepgina"/>
      <w:jc w:val="right"/>
    </w:pPr>
  </w:p>
  <w:p w14:paraId="50878CDD" w14:textId="77777777" w:rsidR="00B74E5B" w:rsidRPr="00C33AFE" w:rsidRDefault="005B43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C4EC9" w14:textId="77777777" w:rsidR="005B43BB" w:rsidRDefault="005B43BB" w:rsidP="0022047A">
      <w:r>
        <w:separator/>
      </w:r>
    </w:p>
  </w:footnote>
  <w:footnote w:type="continuationSeparator" w:id="0">
    <w:p w14:paraId="04AF2BF5" w14:textId="77777777" w:rsidR="005B43BB" w:rsidRDefault="005B43BB" w:rsidP="0022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F353" w14:textId="77777777" w:rsidR="00B74E5B" w:rsidRDefault="00D5788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1815" w14:textId="5C77C985"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5B43B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5B43BB" w:rsidP="00BB435D"/>
                </w:txbxContent>
              </v:textbox>
            </v:shape>
          </w:pict>
        </mc:Fallback>
      </mc:AlternateContent>
    </w:r>
    <w:r w:rsidR="00DE5281" w:rsidRPr="00ED0024">
      <w:rPr>
        <w:rFonts w:ascii="Arial Narrow" w:hAnsi="Arial Narrow"/>
        <w:b/>
        <w:sz w:val="20"/>
        <w:szCs w:val="20"/>
      </w:rPr>
      <w:t>BOLETÍN. -</w:t>
    </w:r>
    <w:r w:rsidR="006A6AE4">
      <w:rPr>
        <w:rFonts w:ascii="Arial Narrow" w:hAnsi="Arial Narrow"/>
        <w:b/>
        <w:sz w:val="20"/>
        <w:szCs w:val="20"/>
      </w:rPr>
      <w:t xml:space="preserve"> </w:t>
    </w:r>
    <w:r w:rsidR="00191B2F">
      <w:rPr>
        <w:rFonts w:ascii="Arial Narrow" w:hAnsi="Arial Narrow"/>
        <w:b/>
        <w:sz w:val="20"/>
        <w:szCs w:val="20"/>
      </w:rPr>
      <w:t>5</w:t>
    </w:r>
    <w:r w:rsidR="002828B1">
      <w:rPr>
        <w:rFonts w:ascii="Arial Narrow" w:hAnsi="Arial Narrow"/>
        <w:b/>
        <w:sz w:val="20"/>
        <w:szCs w:val="20"/>
      </w:rPr>
      <w:t>6</w:t>
    </w:r>
  </w:p>
  <w:p w14:paraId="62DCA46F" w14:textId="5639B0E4" w:rsidR="00B74E5B" w:rsidRPr="00ED0024" w:rsidRDefault="00976046" w:rsidP="00C33AFE">
    <w:pPr>
      <w:pStyle w:val="Encabezado"/>
      <w:rPr>
        <w:rFonts w:ascii="Arial Narrow" w:hAnsi="Arial Narrow"/>
        <w:b/>
        <w:sz w:val="20"/>
        <w:szCs w:val="20"/>
      </w:rPr>
    </w:pPr>
    <w:r>
      <w:rPr>
        <w:rFonts w:ascii="Arial Narrow" w:hAnsi="Arial Narrow"/>
        <w:b/>
        <w:sz w:val="20"/>
        <w:szCs w:val="20"/>
      </w:rPr>
      <w:t>1</w:t>
    </w:r>
    <w:r w:rsidR="002828B1">
      <w:rPr>
        <w:rFonts w:ascii="Arial Narrow" w:hAnsi="Arial Narrow"/>
        <w:b/>
        <w:sz w:val="20"/>
        <w:szCs w:val="20"/>
      </w:rPr>
      <w:t>6</w:t>
    </w:r>
    <w:r w:rsidR="00D5788F">
      <w:rPr>
        <w:rFonts w:ascii="Arial Narrow" w:hAnsi="Arial Narrow"/>
        <w:b/>
        <w:sz w:val="20"/>
        <w:szCs w:val="20"/>
      </w:rPr>
      <w:t>/</w:t>
    </w:r>
    <w:r w:rsidR="00ED287B">
      <w:rPr>
        <w:rFonts w:ascii="Arial Narrow" w:hAnsi="Arial Narrow"/>
        <w:b/>
        <w:sz w:val="20"/>
        <w:szCs w:val="20"/>
      </w:rPr>
      <w:t>10</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5B43BB">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F50"/>
    <w:multiLevelType w:val="hybridMultilevel"/>
    <w:tmpl w:val="1026DF42"/>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 w15:restartNumberingAfterBreak="0">
    <w:nsid w:val="054A0998"/>
    <w:multiLevelType w:val="hybridMultilevel"/>
    <w:tmpl w:val="6E0A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0E6AE9"/>
    <w:multiLevelType w:val="hybridMultilevel"/>
    <w:tmpl w:val="6FE04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8405FB"/>
    <w:multiLevelType w:val="hybridMultilevel"/>
    <w:tmpl w:val="4AA64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DE6C78"/>
    <w:multiLevelType w:val="hybridMultilevel"/>
    <w:tmpl w:val="AAAC0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102168"/>
    <w:multiLevelType w:val="hybridMultilevel"/>
    <w:tmpl w:val="B216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3743D7"/>
    <w:multiLevelType w:val="hybridMultilevel"/>
    <w:tmpl w:val="846CA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6C09B0"/>
    <w:multiLevelType w:val="hybridMultilevel"/>
    <w:tmpl w:val="B828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863E12"/>
    <w:multiLevelType w:val="hybridMultilevel"/>
    <w:tmpl w:val="0CAC9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334756"/>
    <w:multiLevelType w:val="hybridMultilevel"/>
    <w:tmpl w:val="D44E6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AF1B47"/>
    <w:multiLevelType w:val="hybridMultilevel"/>
    <w:tmpl w:val="3392E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5639D4"/>
    <w:multiLevelType w:val="hybridMultilevel"/>
    <w:tmpl w:val="8D2A0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FBC43E4"/>
    <w:multiLevelType w:val="hybridMultilevel"/>
    <w:tmpl w:val="78D0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2"/>
  </w:num>
  <w:num w:numId="5">
    <w:abstractNumId w:val="16"/>
  </w:num>
  <w:num w:numId="6">
    <w:abstractNumId w:val="19"/>
  </w:num>
  <w:num w:numId="7">
    <w:abstractNumId w:val="12"/>
  </w:num>
  <w:num w:numId="8">
    <w:abstractNumId w:val="1"/>
  </w:num>
  <w:num w:numId="9">
    <w:abstractNumId w:val="4"/>
  </w:num>
  <w:num w:numId="10">
    <w:abstractNumId w:val="7"/>
  </w:num>
  <w:num w:numId="11">
    <w:abstractNumId w:val="18"/>
  </w:num>
  <w:num w:numId="12">
    <w:abstractNumId w:val="8"/>
  </w:num>
  <w:num w:numId="13">
    <w:abstractNumId w:val="5"/>
  </w:num>
  <w:num w:numId="14">
    <w:abstractNumId w:val="10"/>
  </w:num>
  <w:num w:numId="15">
    <w:abstractNumId w:val="9"/>
  </w:num>
  <w:num w:numId="16">
    <w:abstractNumId w:val="0"/>
  </w:num>
  <w:num w:numId="17">
    <w:abstractNumId w:val="17"/>
  </w:num>
  <w:num w:numId="18">
    <w:abstractNumId w:val="15"/>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7A"/>
    <w:rsid w:val="00002457"/>
    <w:rsid w:val="00021486"/>
    <w:rsid w:val="00033141"/>
    <w:rsid w:val="000448D1"/>
    <w:rsid w:val="000A0228"/>
    <w:rsid w:val="000A3AC3"/>
    <w:rsid w:val="000C77BB"/>
    <w:rsid w:val="000D0DE6"/>
    <w:rsid w:val="000E72EC"/>
    <w:rsid w:val="000F5C88"/>
    <w:rsid w:val="00111A38"/>
    <w:rsid w:val="001151CC"/>
    <w:rsid w:val="00123037"/>
    <w:rsid w:val="0012554F"/>
    <w:rsid w:val="00127619"/>
    <w:rsid w:val="0013569A"/>
    <w:rsid w:val="00185D59"/>
    <w:rsid w:val="00191B2F"/>
    <w:rsid w:val="001C54CD"/>
    <w:rsid w:val="001D299D"/>
    <w:rsid w:val="001E28DE"/>
    <w:rsid w:val="00211CCE"/>
    <w:rsid w:val="0022047A"/>
    <w:rsid w:val="002278FD"/>
    <w:rsid w:val="002343AE"/>
    <w:rsid w:val="00261190"/>
    <w:rsid w:val="002679D8"/>
    <w:rsid w:val="002828B1"/>
    <w:rsid w:val="00282B32"/>
    <w:rsid w:val="002A72AA"/>
    <w:rsid w:val="002B13C0"/>
    <w:rsid w:val="002B2EAB"/>
    <w:rsid w:val="002C7674"/>
    <w:rsid w:val="003057F8"/>
    <w:rsid w:val="0030605F"/>
    <w:rsid w:val="0033655A"/>
    <w:rsid w:val="0034083C"/>
    <w:rsid w:val="003479C1"/>
    <w:rsid w:val="003A69FF"/>
    <w:rsid w:val="003F432A"/>
    <w:rsid w:val="0041174E"/>
    <w:rsid w:val="004305B4"/>
    <w:rsid w:val="0043135C"/>
    <w:rsid w:val="00431CC3"/>
    <w:rsid w:val="004760EA"/>
    <w:rsid w:val="00477017"/>
    <w:rsid w:val="00487F3A"/>
    <w:rsid w:val="004946C0"/>
    <w:rsid w:val="004C39B1"/>
    <w:rsid w:val="004D5046"/>
    <w:rsid w:val="00502F0B"/>
    <w:rsid w:val="00570E1B"/>
    <w:rsid w:val="005B43BB"/>
    <w:rsid w:val="005F4801"/>
    <w:rsid w:val="0063771A"/>
    <w:rsid w:val="00644A42"/>
    <w:rsid w:val="00645354"/>
    <w:rsid w:val="0067211E"/>
    <w:rsid w:val="00684B9B"/>
    <w:rsid w:val="00691F2B"/>
    <w:rsid w:val="006A6AE4"/>
    <w:rsid w:val="006B39C3"/>
    <w:rsid w:val="006B7867"/>
    <w:rsid w:val="006C6CE5"/>
    <w:rsid w:val="006D53BD"/>
    <w:rsid w:val="006D7E0F"/>
    <w:rsid w:val="006E773E"/>
    <w:rsid w:val="006F3F6E"/>
    <w:rsid w:val="006F738E"/>
    <w:rsid w:val="00706B20"/>
    <w:rsid w:val="0075766B"/>
    <w:rsid w:val="007A1494"/>
    <w:rsid w:val="007A7CB7"/>
    <w:rsid w:val="00804643"/>
    <w:rsid w:val="00862302"/>
    <w:rsid w:val="008829E6"/>
    <w:rsid w:val="0089234A"/>
    <w:rsid w:val="008B793B"/>
    <w:rsid w:val="008E1EBE"/>
    <w:rsid w:val="0094490D"/>
    <w:rsid w:val="00954D18"/>
    <w:rsid w:val="00956ACA"/>
    <w:rsid w:val="00973F16"/>
    <w:rsid w:val="009744D6"/>
    <w:rsid w:val="00976046"/>
    <w:rsid w:val="009B55ED"/>
    <w:rsid w:val="009C6013"/>
    <w:rsid w:val="009F5816"/>
    <w:rsid w:val="009F606C"/>
    <w:rsid w:val="00A10EED"/>
    <w:rsid w:val="00A26821"/>
    <w:rsid w:val="00A34939"/>
    <w:rsid w:val="00A66091"/>
    <w:rsid w:val="00A67857"/>
    <w:rsid w:val="00A723C8"/>
    <w:rsid w:val="00A83FDC"/>
    <w:rsid w:val="00A948BB"/>
    <w:rsid w:val="00B33FE2"/>
    <w:rsid w:val="00B42124"/>
    <w:rsid w:val="00B9129C"/>
    <w:rsid w:val="00B946D9"/>
    <w:rsid w:val="00B94DFF"/>
    <w:rsid w:val="00BA7FD8"/>
    <w:rsid w:val="00BB77D8"/>
    <w:rsid w:val="00BE0397"/>
    <w:rsid w:val="00C0397B"/>
    <w:rsid w:val="00C17E3C"/>
    <w:rsid w:val="00CA0DA6"/>
    <w:rsid w:val="00CC494A"/>
    <w:rsid w:val="00CE0ABC"/>
    <w:rsid w:val="00CE32E3"/>
    <w:rsid w:val="00D02F62"/>
    <w:rsid w:val="00D07E5C"/>
    <w:rsid w:val="00D1189B"/>
    <w:rsid w:val="00D168DD"/>
    <w:rsid w:val="00D31974"/>
    <w:rsid w:val="00D54C95"/>
    <w:rsid w:val="00D5788F"/>
    <w:rsid w:val="00D73A32"/>
    <w:rsid w:val="00DE5281"/>
    <w:rsid w:val="00DF7BD5"/>
    <w:rsid w:val="00E106CF"/>
    <w:rsid w:val="00E37C4B"/>
    <w:rsid w:val="00E67C32"/>
    <w:rsid w:val="00E931E7"/>
    <w:rsid w:val="00EC1321"/>
    <w:rsid w:val="00ED287B"/>
    <w:rsid w:val="00F02994"/>
    <w:rsid w:val="00F45739"/>
    <w:rsid w:val="00F51FF5"/>
    <w:rsid w:val="00F53BB9"/>
    <w:rsid w:val="00F627C0"/>
    <w:rsid w:val="00F72FB2"/>
    <w:rsid w:val="00F95919"/>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unhideWhenUsed/>
    <w:rsid w:val="00A66091"/>
    <w:pPr>
      <w:spacing w:before="100" w:beforeAutospacing="1" w:after="100" w:afterAutospacing="1"/>
      <w:jc w:val="left"/>
    </w:pPr>
    <w:rPr>
      <w:rFonts w:ascii="Times New Roman" w:eastAsia="Times New Roman" w:hAnsi="Times New Roman"/>
      <w:lang w:eastAsia="es-MX"/>
    </w:rPr>
  </w:style>
  <w:style w:type="paragraph" w:customStyle="1" w:styleId="xmsonormal">
    <w:name w:val="x_msonormal"/>
    <w:basedOn w:val="Normal"/>
    <w:rsid w:val="00431CC3"/>
    <w:pPr>
      <w:spacing w:before="100" w:beforeAutospacing="1" w:after="100" w:afterAutospacing="1"/>
      <w:jc w:val="left"/>
    </w:pPr>
    <w:rPr>
      <w:rFonts w:ascii="Times New Roman" w:eastAsia="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1657372025">
      <w:bodyDiv w:val="1"/>
      <w:marLeft w:val="0"/>
      <w:marRight w:val="0"/>
      <w:marTop w:val="0"/>
      <w:marBottom w:val="0"/>
      <w:divBdr>
        <w:top w:val="none" w:sz="0" w:space="0" w:color="auto"/>
        <w:left w:val="none" w:sz="0" w:space="0" w:color="auto"/>
        <w:bottom w:val="none" w:sz="0" w:space="0" w:color="auto"/>
        <w:right w:val="none" w:sz="0" w:space="0" w:color="auto"/>
      </w:divBdr>
    </w:div>
    <w:div w:id="2076928717">
      <w:bodyDiv w:val="1"/>
      <w:marLeft w:val="0"/>
      <w:marRight w:val="0"/>
      <w:marTop w:val="0"/>
      <w:marBottom w:val="0"/>
      <w:divBdr>
        <w:top w:val="none" w:sz="0" w:space="0" w:color="auto"/>
        <w:left w:val="none" w:sz="0" w:space="0" w:color="auto"/>
        <w:bottom w:val="none" w:sz="0" w:space="0" w:color="auto"/>
        <w:right w:val="none" w:sz="0" w:space="0" w:color="auto"/>
      </w:divBdr>
      <w:divsChild>
        <w:div w:id="240523704">
          <w:marLeft w:val="0"/>
          <w:marRight w:val="0"/>
          <w:marTop w:val="0"/>
          <w:marBottom w:val="0"/>
          <w:divBdr>
            <w:top w:val="none" w:sz="0" w:space="0" w:color="auto"/>
            <w:left w:val="none" w:sz="0" w:space="0" w:color="auto"/>
            <w:bottom w:val="none" w:sz="0" w:space="0" w:color="auto"/>
            <w:right w:val="none" w:sz="0" w:space="0" w:color="auto"/>
          </w:divBdr>
        </w:div>
        <w:div w:id="1177690021">
          <w:marLeft w:val="0"/>
          <w:marRight w:val="0"/>
          <w:marTop w:val="0"/>
          <w:marBottom w:val="0"/>
          <w:divBdr>
            <w:top w:val="none" w:sz="0" w:space="0" w:color="auto"/>
            <w:left w:val="none" w:sz="0" w:space="0" w:color="auto"/>
            <w:bottom w:val="none" w:sz="0" w:space="0" w:color="auto"/>
            <w:right w:val="none" w:sz="0" w:space="0" w:color="auto"/>
          </w:divBdr>
          <w:divsChild>
            <w:div w:id="490145097">
              <w:marLeft w:val="0"/>
              <w:marRight w:val="0"/>
              <w:marTop w:val="0"/>
              <w:marBottom w:val="0"/>
              <w:divBdr>
                <w:top w:val="none" w:sz="0" w:space="0" w:color="auto"/>
                <w:left w:val="none" w:sz="0" w:space="0" w:color="auto"/>
                <w:bottom w:val="none" w:sz="0" w:space="0" w:color="auto"/>
                <w:right w:val="none" w:sz="0" w:space="0" w:color="auto"/>
              </w:divBdr>
              <w:divsChild>
                <w:div w:id="1826044346">
                  <w:marLeft w:val="0"/>
                  <w:marRight w:val="0"/>
                  <w:marTop w:val="0"/>
                  <w:marBottom w:val="0"/>
                  <w:divBdr>
                    <w:top w:val="none" w:sz="0" w:space="0" w:color="auto"/>
                    <w:left w:val="none" w:sz="0" w:space="0" w:color="auto"/>
                    <w:bottom w:val="none" w:sz="0" w:space="0" w:color="auto"/>
                    <w:right w:val="none" w:sz="0" w:space="0" w:color="auto"/>
                  </w:divBdr>
                  <w:divsChild>
                    <w:div w:id="1148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2</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DCSI_auxiliar-4</cp:lastModifiedBy>
  <cp:revision>115</cp:revision>
  <dcterms:created xsi:type="dcterms:W3CDTF">2020-05-02T03:22:00Z</dcterms:created>
  <dcterms:modified xsi:type="dcterms:W3CDTF">2020-10-16T22:12:00Z</dcterms:modified>
</cp:coreProperties>
</file>