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59" w:rsidRPr="001E0959" w:rsidRDefault="001E0959" w:rsidP="001E0959">
      <w:pPr>
        <w:rPr>
          <w:rFonts w:ascii="Arial" w:hAnsi="Arial" w:cs="Arial"/>
          <w:b/>
          <w:color w:val="000000"/>
          <w:sz w:val="28"/>
          <w:szCs w:val="28"/>
        </w:rPr>
      </w:pPr>
      <w:r w:rsidRPr="001E0959">
        <w:rPr>
          <w:rFonts w:ascii="Arial" w:hAnsi="Arial" w:cs="Arial"/>
          <w:b/>
          <w:color w:val="000000"/>
          <w:sz w:val="28"/>
          <w:szCs w:val="28"/>
        </w:rPr>
        <w:t>Reportan más de 300 solicitudes de información relacionadas con tema de COVID-19</w:t>
      </w:r>
    </w:p>
    <w:p w:rsidR="001E0959" w:rsidRPr="001E0959" w:rsidRDefault="001E0959" w:rsidP="001E0959">
      <w:pPr>
        <w:rPr>
          <w:rFonts w:ascii="Arial" w:hAnsi="Arial" w:cs="Arial"/>
          <w:color w:val="000000"/>
        </w:rPr>
      </w:pPr>
    </w:p>
    <w:p w:rsidR="001E0959" w:rsidRPr="001E0959" w:rsidRDefault="001E0959" w:rsidP="001E0959">
      <w:pPr>
        <w:pStyle w:val="Prrafodelista"/>
        <w:numPr>
          <w:ilvl w:val="0"/>
          <w:numId w:val="47"/>
        </w:numPr>
        <w:rPr>
          <w:rFonts w:ascii="Arial" w:hAnsi="Arial" w:cs="Arial"/>
          <w:color w:val="000000"/>
          <w:sz w:val="22"/>
          <w:szCs w:val="22"/>
        </w:rPr>
      </w:pPr>
      <w:r w:rsidRPr="001E0959">
        <w:rPr>
          <w:rFonts w:ascii="Arial" w:hAnsi="Arial" w:cs="Arial"/>
          <w:color w:val="000000"/>
          <w:sz w:val="22"/>
          <w:szCs w:val="22"/>
        </w:rPr>
        <w:t>113 solicitudes ya fueron atendidas, se encuentran pendientes 190.</w:t>
      </w:r>
    </w:p>
    <w:p w:rsidR="001E0959" w:rsidRPr="001E0959" w:rsidRDefault="001E0959" w:rsidP="001E0959">
      <w:pPr>
        <w:rPr>
          <w:rFonts w:ascii="Arial" w:hAnsi="Arial" w:cs="Arial"/>
          <w:color w:val="000000"/>
        </w:rPr>
      </w:pPr>
    </w:p>
    <w:p w:rsidR="001E0959" w:rsidRPr="001E0959" w:rsidRDefault="001E0959" w:rsidP="001E0959">
      <w:pPr>
        <w:rPr>
          <w:rFonts w:ascii="Arial" w:hAnsi="Arial" w:cs="Arial"/>
          <w:color w:val="000000"/>
        </w:rPr>
      </w:pPr>
      <w:r w:rsidRPr="001E0959">
        <w:rPr>
          <w:rFonts w:ascii="Arial" w:hAnsi="Arial" w:cs="Arial"/>
          <w:color w:val="000000"/>
        </w:rPr>
        <w:t>Xalapa, Ver.- 27 de mayo de 2020.- El Instituto Veracruzano de Acceso a la Información y Protección de Datos Personales (IVAI), recibió del periodo del 17 de marzo al 20 de mayo, 2, 624 solicitudes de información de las cuales 303 están relacionadas con el tema COVID-19.</w:t>
      </w:r>
    </w:p>
    <w:p w:rsidR="001E0959" w:rsidRPr="001E0959" w:rsidRDefault="001E0959" w:rsidP="001E0959">
      <w:pPr>
        <w:rPr>
          <w:rFonts w:ascii="Arial" w:hAnsi="Arial" w:cs="Arial"/>
          <w:color w:val="000000"/>
        </w:rPr>
      </w:pPr>
    </w:p>
    <w:p w:rsidR="001E0959" w:rsidRPr="001E0959" w:rsidRDefault="001E0959" w:rsidP="001E0959">
      <w:pPr>
        <w:rPr>
          <w:rFonts w:ascii="Arial" w:hAnsi="Arial" w:cs="Arial"/>
          <w:color w:val="000000"/>
        </w:rPr>
      </w:pPr>
      <w:r w:rsidRPr="001E0959">
        <w:rPr>
          <w:rFonts w:ascii="Arial" w:hAnsi="Arial" w:cs="Arial"/>
          <w:color w:val="000000"/>
        </w:rPr>
        <w:t>Lo anterior en atención al exhorto lanzado por el IVAI para que los diversos sujetos obligados de la entidad den respuesta oportuna ante la emergencia sanitaria provocada por la contingencia provocada por el coronavirus.</w:t>
      </w:r>
    </w:p>
    <w:p w:rsidR="001E0959" w:rsidRPr="001E0959" w:rsidRDefault="001E0959" w:rsidP="001E0959">
      <w:pPr>
        <w:rPr>
          <w:rFonts w:ascii="Arial" w:hAnsi="Arial" w:cs="Arial"/>
          <w:color w:val="000000"/>
        </w:rPr>
      </w:pPr>
    </w:p>
    <w:p w:rsidR="001E0959" w:rsidRPr="001E0959" w:rsidRDefault="001E0959" w:rsidP="001E0959">
      <w:pPr>
        <w:rPr>
          <w:rFonts w:ascii="Arial" w:hAnsi="Arial" w:cs="Arial"/>
          <w:color w:val="000000"/>
        </w:rPr>
      </w:pPr>
      <w:r w:rsidRPr="001E0959">
        <w:rPr>
          <w:rFonts w:ascii="Arial" w:hAnsi="Arial" w:cs="Arial"/>
          <w:color w:val="000000"/>
        </w:rPr>
        <w:t xml:space="preserve">De acuerdo al reporte de la Unidad de Sistemas Informáticos del Instituto, las solicitudes de información se han recibido a través de la Plataforma Nacional de Transparencia (PNT) y de </w:t>
      </w:r>
      <w:proofErr w:type="spellStart"/>
      <w:r w:rsidRPr="001E0959">
        <w:rPr>
          <w:rFonts w:ascii="Arial" w:hAnsi="Arial" w:cs="Arial"/>
          <w:color w:val="000000"/>
        </w:rPr>
        <w:t>Infomex</w:t>
      </w:r>
      <w:proofErr w:type="spellEnd"/>
      <w:r w:rsidRPr="001E0959">
        <w:rPr>
          <w:rFonts w:ascii="Arial" w:hAnsi="Arial" w:cs="Arial"/>
          <w:color w:val="000000"/>
        </w:rPr>
        <w:t xml:space="preserve"> Veracruz, de estas 303 solicitudes, 182 corresponden a los ayuntamientos, 52 al poder Ejecutivo, 36 a comisiones de agua paramunicipales, 14 a órganos autónomos, nueve a partidos políticos, seis a organismos públicos descentralizados, tres para el poder legislativo y uno para el poder judicial.</w:t>
      </w:r>
    </w:p>
    <w:p w:rsidR="001E0959" w:rsidRPr="001E0959" w:rsidRDefault="001E0959" w:rsidP="001E0959">
      <w:pPr>
        <w:rPr>
          <w:rFonts w:ascii="Arial" w:hAnsi="Arial" w:cs="Arial"/>
          <w:color w:val="000000"/>
        </w:rPr>
      </w:pPr>
    </w:p>
    <w:p w:rsidR="001E0959" w:rsidRPr="001E0959" w:rsidRDefault="001E0959" w:rsidP="001E0959">
      <w:pPr>
        <w:rPr>
          <w:rFonts w:ascii="Arial" w:hAnsi="Arial" w:cs="Arial"/>
          <w:color w:val="000000"/>
        </w:rPr>
      </w:pPr>
      <w:r w:rsidRPr="001E0959">
        <w:rPr>
          <w:rFonts w:ascii="Arial" w:hAnsi="Arial" w:cs="Arial"/>
          <w:color w:val="000000"/>
        </w:rPr>
        <w:t xml:space="preserve">Entre los cuestionamientos más recurrentes se encuentran, los costos de los </w:t>
      </w:r>
      <w:proofErr w:type="spellStart"/>
      <w:r w:rsidRPr="001E0959">
        <w:rPr>
          <w:rFonts w:ascii="Arial" w:hAnsi="Arial" w:cs="Arial"/>
          <w:color w:val="000000"/>
        </w:rPr>
        <w:t>cubrebocas</w:t>
      </w:r>
      <w:proofErr w:type="spellEnd"/>
      <w:r w:rsidRPr="001E0959">
        <w:rPr>
          <w:rFonts w:ascii="Arial" w:hAnsi="Arial" w:cs="Arial"/>
          <w:color w:val="000000"/>
        </w:rPr>
        <w:t xml:space="preserve">, y abastecimiento de personal médico, el número de enfermeras, enfermeros y doctores que se encuentran trabajando en las distintas clínicas del estado, costo de las despensas que entregaron algunos ayuntamientos para personas vulnerables por el coronavirus entre otras.  </w:t>
      </w:r>
    </w:p>
    <w:p w:rsidR="001E0959" w:rsidRPr="001E0959" w:rsidRDefault="001E0959" w:rsidP="001E0959">
      <w:pPr>
        <w:rPr>
          <w:rFonts w:ascii="Arial" w:hAnsi="Arial" w:cs="Arial"/>
          <w:color w:val="000000"/>
        </w:rPr>
      </w:pPr>
    </w:p>
    <w:p w:rsidR="001E0959" w:rsidRPr="001E0959" w:rsidRDefault="001E0959" w:rsidP="001E0959">
      <w:pPr>
        <w:rPr>
          <w:rFonts w:ascii="Arial" w:hAnsi="Arial" w:cs="Arial"/>
          <w:color w:val="000000"/>
        </w:rPr>
      </w:pPr>
      <w:r w:rsidRPr="001E0959">
        <w:rPr>
          <w:rFonts w:ascii="Arial" w:hAnsi="Arial" w:cs="Arial"/>
          <w:color w:val="000000"/>
        </w:rPr>
        <w:t>De las 303 solicitudes de información relacionadas con el COVID-19, 113 ya fueron atendidas y se encuentran pendientes 190.</w:t>
      </w:r>
    </w:p>
    <w:p w:rsidR="001E0959" w:rsidRPr="001E0959" w:rsidRDefault="001E0959" w:rsidP="001E0959">
      <w:pPr>
        <w:rPr>
          <w:rFonts w:ascii="Arial" w:hAnsi="Arial" w:cs="Arial"/>
          <w:color w:val="000000"/>
        </w:rPr>
      </w:pPr>
    </w:p>
    <w:p w:rsidR="001E0959" w:rsidRPr="001E0959" w:rsidRDefault="001E0959" w:rsidP="001E0959">
      <w:pPr>
        <w:rPr>
          <w:rFonts w:ascii="Arial" w:hAnsi="Arial" w:cs="Arial"/>
          <w:color w:val="000000"/>
        </w:rPr>
      </w:pPr>
      <w:r w:rsidRPr="001E0959">
        <w:rPr>
          <w:rFonts w:ascii="Arial" w:hAnsi="Arial" w:cs="Arial"/>
          <w:color w:val="000000"/>
        </w:rPr>
        <w:t>De este universo de solicitudes presentadas ante la Plataforma Nacional de Transparencia destacan que 52 fueron para el ayuntamiento de Poza Rica, 36 a la Comisión Municipal de Agua de Xalapa, 30 a la Secretaría de Salud.</w:t>
      </w:r>
    </w:p>
    <w:p w:rsidR="001E0959" w:rsidRPr="001E0959" w:rsidRDefault="001E0959" w:rsidP="001E0959">
      <w:pPr>
        <w:rPr>
          <w:rFonts w:ascii="Arial" w:hAnsi="Arial" w:cs="Arial"/>
          <w:color w:val="000000"/>
        </w:rPr>
      </w:pPr>
    </w:p>
    <w:p w:rsidR="001E0959" w:rsidRPr="001E0959" w:rsidRDefault="001E0959" w:rsidP="001E0959">
      <w:pPr>
        <w:rPr>
          <w:rFonts w:ascii="Arial" w:hAnsi="Arial" w:cs="Arial"/>
          <w:color w:val="000000"/>
        </w:rPr>
      </w:pPr>
      <w:r w:rsidRPr="001E0959">
        <w:rPr>
          <w:rFonts w:ascii="Arial" w:hAnsi="Arial" w:cs="Arial"/>
          <w:color w:val="000000"/>
        </w:rPr>
        <w:t xml:space="preserve">Para mantener informados a los sujetos obligados y a la ciudadanía en general, el IVAI ha optado por realizar de manera semanal cortes con el fin de proporcionar los datos de las solicitudes de información que realiza la ciudadanía y un resumen de las respuestas que brindan los sujetos obligados, las cuales pueden ser consultadas en el </w:t>
      </w:r>
      <w:proofErr w:type="spellStart"/>
      <w:r w:rsidRPr="001E0959">
        <w:rPr>
          <w:rFonts w:ascii="Arial" w:hAnsi="Arial" w:cs="Arial"/>
          <w:color w:val="000000"/>
        </w:rPr>
        <w:t>Micrositio</w:t>
      </w:r>
      <w:proofErr w:type="spellEnd"/>
      <w:r w:rsidRPr="001E0959">
        <w:rPr>
          <w:rFonts w:ascii="Arial" w:hAnsi="Arial" w:cs="Arial"/>
          <w:color w:val="000000"/>
        </w:rPr>
        <w:t xml:space="preserve"> “Información importante ante Covid-19”, disponible en el siguiente enlace: </w:t>
      </w:r>
      <w:hyperlink r:id="rId8" w:history="1">
        <w:r w:rsidRPr="009912BF">
          <w:rPr>
            <w:rStyle w:val="Hipervnculo"/>
            <w:rFonts w:ascii="Arial" w:hAnsi="Arial" w:cs="Arial"/>
          </w:rPr>
          <w:t>https://bit.ly/2LGfGXo</w:t>
        </w:r>
      </w:hyperlink>
      <w:r>
        <w:rPr>
          <w:rFonts w:ascii="Arial" w:hAnsi="Arial" w:cs="Arial"/>
          <w:color w:val="000000"/>
        </w:rPr>
        <w:t xml:space="preserve"> </w:t>
      </w:r>
      <w:bookmarkStart w:id="0" w:name="_GoBack"/>
      <w:bookmarkEnd w:id="0"/>
      <w:r w:rsidRPr="001E0959">
        <w:rPr>
          <w:rFonts w:ascii="Arial" w:hAnsi="Arial" w:cs="Arial"/>
          <w:color w:val="000000"/>
        </w:rPr>
        <w:t xml:space="preserve"> </w:t>
      </w:r>
      <w:r>
        <w:rPr>
          <w:rFonts w:ascii="Arial" w:hAnsi="Arial" w:cs="Arial"/>
          <w:color w:val="000000"/>
        </w:rPr>
        <w:t xml:space="preserve"> </w:t>
      </w:r>
    </w:p>
    <w:p w:rsidR="001E0959" w:rsidRPr="001E0959" w:rsidRDefault="001E0959" w:rsidP="001E0959">
      <w:pPr>
        <w:rPr>
          <w:rFonts w:ascii="Arial" w:hAnsi="Arial" w:cs="Arial"/>
          <w:color w:val="000000"/>
        </w:rPr>
      </w:pPr>
    </w:p>
    <w:p w:rsidR="001E0959" w:rsidRDefault="001E0959" w:rsidP="001E0959">
      <w:pPr>
        <w:rPr>
          <w:b/>
          <w:color w:val="000000"/>
          <w:sz w:val="27"/>
          <w:szCs w:val="27"/>
        </w:rPr>
      </w:pPr>
      <w:r w:rsidRPr="001E0959">
        <w:rPr>
          <w:rFonts w:ascii="Arial" w:hAnsi="Arial" w:cs="Arial"/>
          <w:color w:val="000000"/>
        </w:rPr>
        <w:t>El órgano garante local refrenda que no posee la información de los sujetos obligados, la relación es directa entre la ciudadanía y los entes públicos, pero interviene a través del recurso de revisión, en caso de inconformidad con la respuesta.</w:t>
      </w:r>
    </w:p>
    <w:p w:rsidR="001E0959" w:rsidRDefault="001E0959" w:rsidP="0083793A">
      <w:pPr>
        <w:jc w:val="center"/>
        <w:rPr>
          <w:b/>
          <w:color w:val="000000"/>
          <w:sz w:val="27"/>
          <w:szCs w:val="27"/>
        </w:rPr>
      </w:pPr>
    </w:p>
    <w:p w:rsidR="00A8268F" w:rsidRPr="0083793A" w:rsidRDefault="00A57093" w:rsidP="0083793A">
      <w:pPr>
        <w:jc w:val="center"/>
        <w:rPr>
          <w:rFonts w:ascii="Arial" w:hAnsi="Arial" w:cs="Arial"/>
        </w:rPr>
      </w:pPr>
      <w:r w:rsidRPr="00606125">
        <w:rPr>
          <w:b/>
          <w:color w:val="000000"/>
          <w:sz w:val="27"/>
          <w:szCs w:val="27"/>
        </w:rPr>
        <w:t>---000---</w:t>
      </w:r>
    </w:p>
    <w:sectPr w:rsidR="00A8268F" w:rsidRPr="0083793A" w:rsidSect="0083793A">
      <w:headerReference w:type="even" r:id="rId9"/>
      <w:headerReference w:type="default" r:id="rId10"/>
      <w:footerReference w:type="default" r:id="rId11"/>
      <w:pgSz w:w="11907" w:h="16839" w:code="9"/>
      <w:pgMar w:top="1702" w:right="1701" w:bottom="142"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2D" w:rsidRDefault="00085F2D" w:rsidP="00E418E4">
      <w:r>
        <w:separator/>
      </w:r>
    </w:p>
  </w:endnote>
  <w:endnote w:type="continuationSeparator" w:id="0">
    <w:p w:rsidR="00085F2D" w:rsidRDefault="00085F2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altName w:val="Calibri"/>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2D" w:rsidRDefault="00085F2D" w:rsidP="00E418E4">
      <w:r>
        <w:separator/>
      </w:r>
    </w:p>
  </w:footnote>
  <w:footnote w:type="continuationSeparator" w:id="0">
    <w:p w:rsidR="00085F2D" w:rsidRDefault="00085F2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7803625C" wp14:editId="34E154CB">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03625C"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437EB368" wp14:editId="6EB57771">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14:anchorId="42B42203" wp14:editId="13899F97">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21BC16CF" wp14:editId="47C3CA75">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1BC16CF"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r w:rsidR="00B74E5B" w:rsidRPr="00ED0024">
      <w:rPr>
        <w:rFonts w:ascii="Arial Narrow" w:hAnsi="Arial Narrow"/>
        <w:b/>
        <w:sz w:val="20"/>
        <w:szCs w:val="20"/>
      </w:rPr>
      <w:t>BOLETÍN.-</w:t>
    </w:r>
    <w:r w:rsidR="001E0959">
      <w:rPr>
        <w:rFonts w:ascii="Arial Narrow" w:hAnsi="Arial Narrow"/>
        <w:b/>
        <w:sz w:val="20"/>
        <w:szCs w:val="20"/>
      </w:rPr>
      <w:t>20</w:t>
    </w:r>
  </w:p>
  <w:p w:rsidR="00B74E5B" w:rsidRPr="00ED0024" w:rsidRDefault="001E0959" w:rsidP="00C33AFE">
    <w:pPr>
      <w:pStyle w:val="Encabezado"/>
      <w:rPr>
        <w:rFonts w:ascii="Arial Narrow" w:hAnsi="Arial Narrow"/>
        <w:b/>
        <w:sz w:val="20"/>
        <w:szCs w:val="20"/>
      </w:rPr>
    </w:pPr>
    <w:r>
      <w:rPr>
        <w:rFonts w:ascii="Arial Narrow" w:hAnsi="Arial Narrow"/>
        <w:b/>
        <w:sz w:val="20"/>
        <w:szCs w:val="20"/>
      </w:rPr>
      <w:t>27</w:t>
    </w:r>
    <w:r w:rsidR="00482A48">
      <w:rPr>
        <w:rFonts w:ascii="Arial Narrow" w:hAnsi="Arial Narrow"/>
        <w:b/>
        <w:sz w:val="20"/>
        <w:szCs w:val="20"/>
      </w:rPr>
      <w:t>/0</w:t>
    </w:r>
    <w:r w:rsidR="00A57093">
      <w:rPr>
        <w:rFonts w:ascii="Arial Narrow" w:hAnsi="Arial Narrow"/>
        <w:b/>
        <w:sz w:val="20"/>
        <w:szCs w:val="20"/>
      </w:rPr>
      <w:t>5</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14:anchorId="3D3ABA61" wp14:editId="110CE6D8">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15:restartNumberingAfterBreak="0">
    <w:nsid w:val="3CAD7121"/>
    <w:multiLevelType w:val="hybridMultilevel"/>
    <w:tmpl w:val="BF0A6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6122E"/>
    <w:multiLevelType w:val="hybridMultilevel"/>
    <w:tmpl w:val="607A9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177BDD"/>
    <w:multiLevelType w:val="hybridMultilevel"/>
    <w:tmpl w:val="1FE2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1"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E55161"/>
    <w:multiLevelType w:val="hybridMultilevel"/>
    <w:tmpl w:val="6F3CE0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9"/>
  </w:num>
  <w:num w:numId="4">
    <w:abstractNumId w:val="44"/>
  </w:num>
  <w:num w:numId="5">
    <w:abstractNumId w:val="43"/>
  </w:num>
  <w:num w:numId="6">
    <w:abstractNumId w:val="37"/>
  </w:num>
  <w:num w:numId="7">
    <w:abstractNumId w:val="31"/>
  </w:num>
  <w:num w:numId="8">
    <w:abstractNumId w:val="8"/>
  </w:num>
  <w:num w:numId="9">
    <w:abstractNumId w:val="28"/>
  </w:num>
  <w:num w:numId="10">
    <w:abstractNumId w:val="22"/>
  </w:num>
  <w:num w:numId="11">
    <w:abstractNumId w:val="1"/>
  </w:num>
  <w:num w:numId="12">
    <w:abstractNumId w:val="0"/>
  </w:num>
  <w:num w:numId="13">
    <w:abstractNumId w:val="21"/>
  </w:num>
  <w:num w:numId="14">
    <w:abstractNumId w:val="13"/>
  </w:num>
  <w:num w:numId="15">
    <w:abstractNumId w:val="42"/>
  </w:num>
  <w:num w:numId="16">
    <w:abstractNumId w:val="38"/>
  </w:num>
  <w:num w:numId="17">
    <w:abstractNumId w:val="6"/>
  </w:num>
  <w:num w:numId="18">
    <w:abstractNumId w:val="32"/>
  </w:num>
  <w:num w:numId="19">
    <w:abstractNumId w:val="14"/>
  </w:num>
  <w:num w:numId="20">
    <w:abstractNumId w:val="11"/>
  </w:num>
  <w:num w:numId="21">
    <w:abstractNumId w:val="18"/>
  </w:num>
  <w:num w:numId="22">
    <w:abstractNumId w:val="34"/>
  </w:num>
  <w:num w:numId="23">
    <w:abstractNumId w:val="23"/>
  </w:num>
  <w:num w:numId="24">
    <w:abstractNumId w:val="36"/>
  </w:num>
  <w:num w:numId="25">
    <w:abstractNumId w:val="25"/>
  </w:num>
  <w:num w:numId="26">
    <w:abstractNumId w:val="33"/>
  </w:num>
  <w:num w:numId="27">
    <w:abstractNumId w:val="45"/>
  </w:num>
  <w:num w:numId="28">
    <w:abstractNumId w:val="35"/>
  </w:num>
  <w:num w:numId="29">
    <w:abstractNumId w:val="4"/>
  </w:num>
  <w:num w:numId="30">
    <w:abstractNumId w:val="7"/>
  </w:num>
  <w:num w:numId="31">
    <w:abstractNumId w:val="15"/>
  </w:num>
  <w:num w:numId="32">
    <w:abstractNumId w:val="46"/>
  </w:num>
  <w:num w:numId="33">
    <w:abstractNumId w:val="12"/>
  </w:num>
  <w:num w:numId="34">
    <w:abstractNumId w:val="27"/>
  </w:num>
  <w:num w:numId="35">
    <w:abstractNumId w:val="2"/>
  </w:num>
  <w:num w:numId="36">
    <w:abstractNumId w:val="10"/>
  </w:num>
  <w:num w:numId="37">
    <w:abstractNumId w:val="41"/>
  </w:num>
  <w:num w:numId="38">
    <w:abstractNumId w:val="26"/>
  </w:num>
  <w:num w:numId="39">
    <w:abstractNumId w:val="29"/>
  </w:num>
  <w:num w:numId="40">
    <w:abstractNumId w:val="30"/>
  </w:num>
  <w:num w:numId="41">
    <w:abstractNumId w:val="9"/>
  </w:num>
  <w:num w:numId="42">
    <w:abstractNumId w:val="16"/>
  </w:num>
  <w:num w:numId="43">
    <w:abstractNumId w:val="40"/>
  </w:num>
  <w:num w:numId="44">
    <w:abstractNumId w:val="39"/>
  </w:num>
  <w:num w:numId="45">
    <w:abstractNumId w:val="20"/>
  </w:num>
  <w:num w:numId="46">
    <w:abstractNumId w:val="24"/>
  </w:num>
  <w:num w:numId="4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986"/>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4A2"/>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1780"/>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3D7"/>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5F2D"/>
    <w:rsid w:val="000860A4"/>
    <w:rsid w:val="00086156"/>
    <w:rsid w:val="0008636F"/>
    <w:rsid w:val="000864FC"/>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06C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7C6"/>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46B"/>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843"/>
    <w:rsid w:val="000F59C6"/>
    <w:rsid w:val="000F59D2"/>
    <w:rsid w:val="000F688F"/>
    <w:rsid w:val="000F6C9A"/>
    <w:rsid w:val="000F708F"/>
    <w:rsid w:val="000F7EA9"/>
    <w:rsid w:val="00100013"/>
    <w:rsid w:val="00101D94"/>
    <w:rsid w:val="00101D9E"/>
    <w:rsid w:val="00101EB8"/>
    <w:rsid w:val="0010204A"/>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649D"/>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2A4"/>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983"/>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08B"/>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130"/>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959"/>
    <w:rsid w:val="001E0CAB"/>
    <w:rsid w:val="001E1454"/>
    <w:rsid w:val="001E18DA"/>
    <w:rsid w:val="001E1E90"/>
    <w:rsid w:val="001E2340"/>
    <w:rsid w:val="001E29BD"/>
    <w:rsid w:val="001E30CA"/>
    <w:rsid w:val="001E34B7"/>
    <w:rsid w:val="001E3A62"/>
    <w:rsid w:val="001E3ACA"/>
    <w:rsid w:val="001E4306"/>
    <w:rsid w:val="001E45D4"/>
    <w:rsid w:val="001E4862"/>
    <w:rsid w:val="001E4871"/>
    <w:rsid w:val="001E597D"/>
    <w:rsid w:val="001E662C"/>
    <w:rsid w:val="001E77D2"/>
    <w:rsid w:val="001E7B7E"/>
    <w:rsid w:val="001E7BBC"/>
    <w:rsid w:val="001F030A"/>
    <w:rsid w:val="001F0B31"/>
    <w:rsid w:val="001F1033"/>
    <w:rsid w:val="001F1A5C"/>
    <w:rsid w:val="001F21FD"/>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13B"/>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5BA"/>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976EC"/>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4AD5"/>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57F"/>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4886"/>
    <w:rsid w:val="003151C0"/>
    <w:rsid w:val="0031535E"/>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4F02"/>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8DF"/>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6F6B"/>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EE2"/>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3EE6"/>
    <w:rsid w:val="004242AA"/>
    <w:rsid w:val="00424351"/>
    <w:rsid w:val="00424407"/>
    <w:rsid w:val="004247C6"/>
    <w:rsid w:val="0042495E"/>
    <w:rsid w:val="00424F58"/>
    <w:rsid w:val="00425DCE"/>
    <w:rsid w:val="004261E4"/>
    <w:rsid w:val="004268CB"/>
    <w:rsid w:val="004268E2"/>
    <w:rsid w:val="0042696A"/>
    <w:rsid w:val="00426E15"/>
    <w:rsid w:val="004272B9"/>
    <w:rsid w:val="00427580"/>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CA"/>
    <w:rsid w:val="00465EDB"/>
    <w:rsid w:val="00466CFF"/>
    <w:rsid w:val="00467062"/>
    <w:rsid w:val="004674FA"/>
    <w:rsid w:val="00467DA3"/>
    <w:rsid w:val="00470C59"/>
    <w:rsid w:val="00470C8A"/>
    <w:rsid w:val="0047100B"/>
    <w:rsid w:val="004719B5"/>
    <w:rsid w:val="00472035"/>
    <w:rsid w:val="004721D6"/>
    <w:rsid w:val="00472A03"/>
    <w:rsid w:val="004730C0"/>
    <w:rsid w:val="0047396E"/>
    <w:rsid w:val="00473BE5"/>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437"/>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4B4"/>
    <w:rsid w:val="004F092A"/>
    <w:rsid w:val="004F0D2C"/>
    <w:rsid w:val="004F1060"/>
    <w:rsid w:val="004F1182"/>
    <w:rsid w:val="004F151F"/>
    <w:rsid w:val="004F1824"/>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71"/>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150"/>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210"/>
    <w:rsid w:val="005173B0"/>
    <w:rsid w:val="00517421"/>
    <w:rsid w:val="00517C7B"/>
    <w:rsid w:val="00517F19"/>
    <w:rsid w:val="00520002"/>
    <w:rsid w:val="005202AF"/>
    <w:rsid w:val="00520398"/>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47FD6"/>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058"/>
    <w:rsid w:val="0055517D"/>
    <w:rsid w:val="00555881"/>
    <w:rsid w:val="005558BB"/>
    <w:rsid w:val="00555976"/>
    <w:rsid w:val="00555DD3"/>
    <w:rsid w:val="005560D6"/>
    <w:rsid w:val="005566DA"/>
    <w:rsid w:val="00556ED6"/>
    <w:rsid w:val="00556F27"/>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E03"/>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8B8"/>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A7E6F"/>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501"/>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5F49"/>
    <w:rsid w:val="00606091"/>
    <w:rsid w:val="00606125"/>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689"/>
    <w:rsid w:val="00651E54"/>
    <w:rsid w:val="00652819"/>
    <w:rsid w:val="00652EDB"/>
    <w:rsid w:val="00652F71"/>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3EE7"/>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0DD"/>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0DFE"/>
    <w:rsid w:val="006F13C7"/>
    <w:rsid w:val="006F1728"/>
    <w:rsid w:val="006F1985"/>
    <w:rsid w:val="006F1B41"/>
    <w:rsid w:val="006F1BEA"/>
    <w:rsid w:val="006F201D"/>
    <w:rsid w:val="006F3BE9"/>
    <w:rsid w:val="006F3E1E"/>
    <w:rsid w:val="006F4114"/>
    <w:rsid w:val="006F4760"/>
    <w:rsid w:val="006F4B46"/>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102"/>
    <w:rsid w:val="00715850"/>
    <w:rsid w:val="00715C07"/>
    <w:rsid w:val="00716029"/>
    <w:rsid w:val="007168A4"/>
    <w:rsid w:val="00716FFF"/>
    <w:rsid w:val="00717139"/>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28AC"/>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7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335"/>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871A1"/>
    <w:rsid w:val="007901A8"/>
    <w:rsid w:val="007918B5"/>
    <w:rsid w:val="0079217D"/>
    <w:rsid w:val="00792706"/>
    <w:rsid w:val="00792803"/>
    <w:rsid w:val="00792874"/>
    <w:rsid w:val="00792E1D"/>
    <w:rsid w:val="00792F8D"/>
    <w:rsid w:val="00793177"/>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4E4"/>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2BC"/>
    <w:rsid w:val="007E4C32"/>
    <w:rsid w:val="007E5178"/>
    <w:rsid w:val="007E5684"/>
    <w:rsid w:val="007E5821"/>
    <w:rsid w:val="007E59C6"/>
    <w:rsid w:val="007E67ED"/>
    <w:rsid w:val="007E6A6A"/>
    <w:rsid w:val="007E6AF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93A"/>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012"/>
    <w:rsid w:val="008644C8"/>
    <w:rsid w:val="0086470D"/>
    <w:rsid w:val="00864726"/>
    <w:rsid w:val="00864B3A"/>
    <w:rsid w:val="00864C23"/>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1E4"/>
    <w:rsid w:val="00882308"/>
    <w:rsid w:val="00882D7F"/>
    <w:rsid w:val="00882EDD"/>
    <w:rsid w:val="00883219"/>
    <w:rsid w:val="00883599"/>
    <w:rsid w:val="00883652"/>
    <w:rsid w:val="008836E0"/>
    <w:rsid w:val="008837BB"/>
    <w:rsid w:val="008837D8"/>
    <w:rsid w:val="00883E93"/>
    <w:rsid w:val="00884081"/>
    <w:rsid w:val="0088435C"/>
    <w:rsid w:val="00885B36"/>
    <w:rsid w:val="00886A13"/>
    <w:rsid w:val="0088743A"/>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564"/>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379"/>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734"/>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723"/>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BB6"/>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18A2"/>
    <w:rsid w:val="0095285B"/>
    <w:rsid w:val="009528E0"/>
    <w:rsid w:val="00952A55"/>
    <w:rsid w:val="0095364F"/>
    <w:rsid w:val="009541F1"/>
    <w:rsid w:val="00954E0D"/>
    <w:rsid w:val="009555BD"/>
    <w:rsid w:val="0095578B"/>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3C4F"/>
    <w:rsid w:val="0097441E"/>
    <w:rsid w:val="00974B20"/>
    <w:rsid w:val="0097582A"/>
    <w:rsid w:val="00975930"/>
    <w:rsid w:val="00975CFE"/>
    <w:rsid w:val="00975D97"/>
    <w:rsid w:val="00975EEB"/>
    <w:rsid w:val="00976B3C"/>
    <w:rsid w:val="00977232"/>
    <w:rsid w:val="009778B1"/>
    <w:rsid w:val="00977F86"/>
    <w:rsid w:val="0098000F"/>
    <w:rsid w:val="00980593"/>
    <w:rsid w:val="00980F6E"/>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7B2"/>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AEB"/>
    <w:rsid w:val="009A7B62"/>
    <w:rsid w:val="009B0286"/>
    <w:rsid w:val="009B06B4"/>
    <w:rsid w:val="009B0C96"/>
    <w:rsid w:val="009B0F09"/>
    <w:rsid w:val="009B101E"/>
    <w:rsid w:val="009B102F"/>
    <w:rsid w:val="009B1781"/>
    <w:rsid w:val="009B189B"/>
    <w:rsid w:val="009B1B3E"/>
    <w:rsid w:val="009B1B68"/>
    <w:rsid w:val="009B2305"/>
    <w:rsid w:val="009B23F8"/>
    <w:rsid w:val="009B2532"/>
    <w:rsid w:val="009B299E"/>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12D"/>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828"/>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A8D"/>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61D"/>
    <w:rsid w:val="009F2E99"/>
    <w:rsid w:val="009F2F2A"/>
    <w:rsid w:val="009F3E5A"/>
    <w:rsid w:val="009F3F98"/>
    <w:rsid w:val="009F4047"/>
    <w:rsid w:val="009F412D"/>
    <w:rsid w:val="009F4205"/>
    <w:rsid w:val="009F4442"/>
    <w:rsid w:val="009F54BD"/>
    <w:rsid w:val="009F5BC8"/>
    <w:rsid w:val="009F6326"/>
    <w:rsid w:val="009F6BEE"/>
    <w:rsid w:val="009F722C"/>
    <w:rsid w:val="009F727A"/>
    <w:rsid w:val="009F7EA7"/>
    <w:rsid w:val="00A00030"/>
    <w:rsid w:val="00A003B3"/>
    <w:rsid w:val="00A004FE"/>
    <w:rsid w:val="00A005AC"/>
    <w:rsid w:val="00A00706"/>
    <w:rsid w:val="00A009B8"/>
    <w:rsid w:val="00A00C62"/>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6F1"/>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EF3"/>
    <w:rsid w:val="00A56F52"/>
    <w:rsid w:val="00A57093"/>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CDD"/>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3CBE"/>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69E"/>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2ED"/>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2C0"/>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66F"/>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0B"/>
    <w:rsid w:val="00BB545E"/>
    <w:rsid w:val="00BB5C88"/>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3C1C"/>
    <w:rsid w:val="00BD4271"/>
    <w:rsid w:val="00BD432A"/>
    <w:rsid w:val="00BD438A"/>
    <w:rsid w:val="00BD476A"/>
    <w:rsid w:val="00BD5AA2"/>
    <w:rsid w:val="00BD5DF3"/>
    <w:rsid w:val="00BD699A"/>
    <w:rsid w:val="00BD6E62"/>
    <w:rsid w:val="00BD6ED3"/>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ACF"/>
    <w:rsid w:val="00C24F3A"/>
    <w:rsid w:val="00C25394"/>
    <w:rsid w:val="00C25961"/>
    <w:rsid w:val="00C26082"/>
    <w:rsid w:val="00C260E6"/>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2F"/>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6A0"/>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2E98"/>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54F"/>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4B"/>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63F"/>
    <w:rsid w:val="00CA79AD"/>
    <w:rsid w:val="00CB0467"/>
    <w:rsid w:val="00CB0483"/>
    <w:rsid w:val="00CB067A"/>
    <w:rsid w:val="00CB0AE2"/>
    <w:rsid w:val="00CB12B3"/>
    <w:rsid w:val="00CB209C"/>
    <w:rsid w:val="00CB2144"/>
    <w:rsid w:val="00CB2191"/>
    <w:rsid w:val="00CB25C1"/>
    <w:rsid w:val="00CB29AA"/>
    <w:rsid w:val="00CB2A54"/>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124"/>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1D"/>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2D6E"/>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452"/>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2F99"/>
    <w:rsid w:val="00D233C0"/>
    <w:rsid w:val="00D2356C"/>
    <w:rsid w:val="00D2386D"/>
    <w:rsid w:val="00D24CD2"/>
    <w:rsid w:val="00D251EB"/>
    <w:rsid w:val="00D25451"/>
    <w:rsid w:val="00D25A86"/>
    <w:rsid w:val="00D25F0A"/>
    <w:rsid w:val="00D26568"/>
    <w:rsid w:val="00D267DC"/>
    <w:rsid w:val="00D26960"/>
    <w:rsid w:val="00D27143"/>
    <w:rsid w:val="00D27428"/>
    <w:rsid w:val="00D276A7"/>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01B2"/>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9EF"/>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95F"/>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0E9E"/>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1F0"/>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0B0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7E5"/>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59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789"/>
    <w:rsid w:val="00EA4A8B"/>
    <w:rsid w:val="00EA4DC6"/>
    <w:rsid w:val="00EA4EC2"/>
    <w:rsid w:val="00EA553E"/>
    <w:rsid w:val="00EA5577"/>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BDD"/>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5DD4"/>
    <w:rsid w:val="00EE6384"/>
    <w:rsid w:val="00EE6C12"/>
    <w:rsid w:val="00EE73C9"/>
    <w:rsid w:val="00EE7402"/>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CB1"/>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01F8"/>
    <w:rsid w:val="00F0124E"/>
    <w:rsid w:val="00F01514"/>
    <w:rsid w:val="00F0202D"/>
    <w:rsid w:val="00F02099"/>
    <w:rsid w:val="00F03015"/>
    <w:rsid w:val="00F03A3B"/>
    <w:rsid w:val="00F0492F"/>
    <w:rsid w:val="00F050E8"/>
    <w:rsid w:val="00F05845"/>
    <w:rsid w:val="00F058DF"/>
    <w:rsid w:val="00F05CDC"/>
    <w:rsid w:val="00F0640A"/>
    <w:rsid w:val="00F06477"/>
    <w:rsid w:val="00F06802"/>
    <w:rsid w:val="00F068A6"/>
    <w:rsid w:val="00F0690C"/>
    <w:rsid w:val="00F06A55"/>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5D50"/>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327"/>
    <w:rsid w:val="00F424C0"/>
    <w:rsid w:val="00F4286C"/>
    <w:rsid w:val="00F42BA6"/>
    <w:rsid w:val="00F42FCC"/>
    <w:rsid w:val="00F430AF"/>
    <w:rsid w:val="00F43111"/>
    <w:rsid w:val="00F4313C"/>
    <w:rsid w:val="00F431DB"/>
    <w:rsid w:val="00F43302"/>
    <w:rsid w:val="00F4380C"/>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AD2"/>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56B"/>
    <w:rsid w:val="00F71856"/>
    <w:rsid w:val="00F71B2B"/>
    <w:rsid w:val="00F71BFB"/>
    <w:rsid w:val="00F71F74"/>
    <w:rsid w:val="00F7252F"/>
    <w:rsid w:val="00F7298C"/>
    <w:rsid w:val="00F729DA"/>
    <w:rsid w:val="00F72D51"/>
    <w:rsid w:val="00F7362F"/>
    <w:rsid w:val="00F73667"/>
    <w:rsid w:val="00F73CEA"/>
    <w:rsid w:val="00F7476E"/>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4890"/>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3E9"/>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3C7F"/>
    <w:rsid w:val="00FE4032"/>
    <w:rsid w:val="00FE4087"/>
    <w:rsid w:val="00FE421B"/>
    <w:rsid w:val="00FE4A11"/>
    <w:rsid w:val="00FE50B8"/>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B90"/>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86EEE8-2AD8-4098-96BE-C1C0BBC0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58">
      <w:bodyDiv w:val="1"/>
      <w:marLeft w:val="0"/>
      <w:marRight w:val="0"/>
      <w:marTop w:val="0"/>
      <w:marBottom w:val="0"/>
      <w:divBdr>
        <w:top w:val="none" w:sz="0" w:space="0" w:color="auto"/>
        <w:left w:val="none" w:sz="0" w:space="0" w:color="auto"/>
        <w:bottom w:val="none" w:sz="0" w:space="0" w:color="auto"/>
        <w:right w:val="none" w:sz="0" w:space="0" w:color="auto"/>
      </w:divBdr>
    </w:div>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9833093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68467371">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053760">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00975641">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911">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LGfGX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37224-F6F8-4AF1-B703-B65BFFC3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398</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DCSI_auxiliar-4</cp:lastModifiedBy>
  <cp:revision>26</cp:revision>
  <cp:lastPrinted>2017-03-23T00:31:00Z</cp:lastPrinted>
  <dcterms:created xsi:type="dcterms:W3CDTF">2020-04-22T05:49:00Z</dcterms:created>
  <dcterms:modified xsi:type="dcterms:W3CDTF">2020-05-27T18:41:00Z</dcterms:modified>
</cp:coreProperties>
</file>