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79" w:rsidRPr="00606125" w:rsidRDefault="00C62E98" w:rsidP="00965775">
      <w:pPr>
        <w:jc w:val="center"/>
        <w:rPr>
          <w:rFonts w:ascii="Arial" w:hAnsi="Arial" w:cs="Arial"/>
          <w:b/>
          <w:sz w:val="28"/>
          <w:szCs w:val="28"/>
          <w:lang w:eastAsia="es-MX"/>
        </w:rPr>
      </w:pPr>
      <w:r w:rsidRPr="00606125">
        <w:rPr>
          <w:rFonts w:ascii="Arial" w:hAnsi="Arial" w:cs="Arial"/>
          <w:b/>
          <w:sz w:val="28"/>
          <w:szCs w:val="28"/>
          <w:lang w:eastAsia="es-MX"/>
        </w:rPr>
        <w:t>IVAI</w:t>
      </w:r>
      <w:r w:rsidR="00C566A0" w:rsidRPr="00606125">
        <w:rPr>
          <w:rFonts w:ascii="Arial" w:hAnsi="Arial" w:cs="Arial"/>
          <w:b/>
          <w:sz w:val="28"/>
          <w:szCs w:val="28"/>
          <w:lang w:eastAsia="es-MX"/>
        </w:rPr>
        <w:t xml:space="preserve"> continúa con funciones esenciales</w:t>
      </w:r>
    </w:p>
    <w:p w:rsidR="00C566A0" w:rsidRPr="00606125" w:rsidRDefault="00C566A0" w:rsidP="00965775">
      <w:pPr>
        <w:jc w:val="center"/>
        <w:rPr>
          <w:rFonts w:ascii="Arial" w:hAnsi="Arial" w:cs="Arial"/>
          <w:b/>
          <w:sz w:val="28"/>
          <w:szCs w:val="28"/>
          <w:lang w:eastAsia="es-MX"/>
        </w:rPr>
      </w:pPr>
    </w:p>
    <w:p w:rsidR="007328AC" w:rsidRPr="00606125" w:rsidRDefault="007328AC" w:rsidP="006F4B46">
      <w:pPr>
        <w:pStyle w:val="Prrafodelista"/>
        <w:numPr>
          <w:ilvl w:val="0"/>
          <w:numId w:val="45"/>
        </w:numPr>
        <w:ind w:left="284" w:hanging="218"/>
        <w:rPr>
          <w:rFonts w:ascii="Arial" w:eastAsia="Times New Roman" w:hAnsi="Arial" w:cs="Arial"/>
          <w:color w:val="201F1E"/>
          <w:sz w:val="20"/>
          <w:szCs w:val="20"/>
          <w:shd w:val="clear" w:color="auto" w:fill="FFFFFF"/>
          <w:lang w:eastAsia="es-ES_tradnl"/>
        </w:rPr>
      </w:pPr>
      <w:r w:rsidRPr="00606125">
        <w:rPr>
          <w:rFonts w:ascii="Arial" w:eastAsia="Times New Roman" w:hAnsi="Arial" w:cs="Arial"/>
          <w:color w:val="201F1E"/>
          <w:sz w:val="20"/>
          <w:szCs w:val="20"/>
          <w:shd w:val="clear" w:color="auto" w:fill="FFFFFF"/>
          <w:lang w:eastAsia="es-ES_tradnl"/>
        </w:rPr>
        <w:t xml:space="preserve">Se dará prórroga a los sujetos obligados para la carga de </w:t>
      </w:r>
      <w:r w:rsidR="00B522C0" w:rsidRPr="00606125">
        <w:rPr>
          <w:rFonts w:ascii="Arial" w:eastAsia="Times New Roman" w:hAnsi="Arial" w:cs="Arial"/>
          <w:color w:val="201F1E"/>
          <w:sz w:val="20"/>
          <w:szCs w:val="20"/>
          <w:shd w:val="clear" w:color="auto" w:fill="FFFFFF"/>
          <w:lang w:eastAsia="es-ES_tradnl"/>
        </w:rPr>
        <w:t>obligaciones de transparencia</w:t>
      </w:r>
    </w:p>
    <w:p w:rsidR="007328AC" w:rsidRPr="00606125" w:rsidRDefault="007328AC" w:rsidP="006F4B46">
      <w:pPr>
        <w:ind w:left="284" w:hanging="218"/>
        <w:rPr>
          <w:rFonts w:ascii="Arial" w:eastAsia="Times New Roman" w:hAnsi="Arial" w:cs="Arial"/>
          <w:color w:val="201F1E"/>
          <w:sz w:val="20"/>
          <w:szCs w:val="20"/>
          <w:shd w:val="clear" w:color="auto" w:fill="FFFFFF"/>
          <w:lang w:eastAsia="es-ES_tradnl"/>
        </w:rPr>
      </w:pPr>
    </w:p>
    <w:p w:rsidR="00C62E98" w:rsidRPr="00606125" w:rsidRDefault="007328AC" w:rsidP="006F4B46">
      <w:pPr>
        <w:pStyle w:val="Prrafodelista"/>
        <w:numPr>
          <w:ilvl w:val="0"/>
          <w:numId w:val="45"/>
        </w:numPr>
        <w:ind w:left="284" w:hanging="218"/>
        <w:rPr>
          <w:rFonts w:ascii="Arial" w:eastAsia="Times New Roman" w:hAnsi="Arial" w:cs="Arial"/>
          <w:color w:val="201F1E"/>
          <w:sz w:val="20"/>
          <w:szCs w:val="20"/>
          <w:shd w:val="clear" w:color="auto" w:fill="FFFFFF"/>
          <w:lang w:eastAsia="es-ES_tradnl"/>
        </w:rPr>
      </w:pPr>
      <w:r w:rsidRPr="00606125">
        <w:rPr>
          <w:rFonts w:ascii="Arial" w:eastAsia="Times New Roman" w:hAnsi="Arial" w:cs="Arial"/>
          <w:color w:val="201F1E"/>
          <w:sz w:val="20"/>
          <w:szCs w:val="20"/>
          <w:shd w:val="clear" w:color="auto" w:fill="FFFFFF"/>
          <w:lang w:eastAsia="es-ES_tradnl"/>
        </w:rPr>
        <w:t>Desde el 17 de marzo se suspendieron los plazos de todos los procedimientos, cursos y asesorías y se envió al personal a su casa por el COVID-19</w:t>
      </w:r>
    </w:p>
    <w:p w:rsidR="007328AC" w:rsidRPr="00606125" w:rsidRDefault="007328AC" w:rsidP="007328AC">
      <w:pPr>
        <w:jc w:val="center"/>
        <w:rPr>
          <w:rFonts w:ascii="Arial" w:hAnsi="Arial" w:cs="Arial"/>
          <w:b/>
          <w:sz w:val="28"/>
          <w:szCs w:val="28"/>
          <w:lang w:eastAsia="es-MX"/>
        </w:rPr>
      </w:pPr>
    </w:p>
    <w:p w:rsidR="00061780" w:rsidRPr="00606125" w:rsidRDefault="00CA6FA5" w:rsidP="00061780">
      <w:pPr>
        <w:rPr>
          <w:rFonts w:ascii="Arial" w:hAnsi="Arial" w:cs="Arial"/>
          <w:lang w:eastAsia="es-MX"/>
        </w:rPr>
      </w:pPr>
      <w:r w:rsidRPr="00606125">
        <w:rPr>
          <w:rFonts w:ascii="Arial" w:hAnsi="Arial" w:cs="Arial"/>
          <w:lang w:eastAsia="es-MX"/>
        </w:rPr>
        <w:t>Xalapa</w:t>
      </w:r>
      <w:r w:rsidR="006F1728" w:rsidRPr="00606125">
        <w:rPr>
          <w:rFonts w:ascii="Arial" w:hAnsi="Arial" w:cs="Arial"/>
          <w:lang w:eastAsia="es-MX"/>
        </w:rPr>
        <w:t xml:space="preserve">, Ver., </w:t>
      </w:r>
      <w:r w:rsidR="00C566A0" w:rsidRPr="00606125">
        <w:rPr>
          <w:rFonts w:ascii="Arial" w:hAnsi="Arial" w:cs="Arial"/>
          <w:lang w:eastAsia="es-MX"/>
        </w:rPr>
        <w:t>31</w:t>
      </w:r>
      <w:r w:rsidR="00100013" w:rsidRPr="00606125">
        <w:rPr>
          <w:rFonts w:ascii="Arial" w:hAnsi="Arial" w:cs="Arial"/>
          <w:lang w:eastAsia="es-MX"/>
        </w:rPr>
        <w:t xml:space="preserve"> </w:t>
      </w:r>
      <w:r w:rsidR="006F1728" w:rsidRPr="00606125">
        <w:rPr>
          <w:rFonts w:ascii="Arial" w:hAnsi="Arial" w:cs="Arial"/>
          <w:lang w:eastAsia="es-MX"/>
        </w:rPr>
        <w:t xml:space="preserve">de </w:t>
      </w:r>
      <w:r w:rsidR="00482A48" w:rsidRPr="00606125">
        <w:rPr>
          <w:rFonts w:ascii="Arial" w:hAnsi="Arial" w:cs="Arial"/>
          <w:lang w:eastAsia="es-MX"/>
        </w:rPr>
        <w:t xml:space="preserve">marzo </w:t>
      </w:r>
      <w:r w:rsidR="006F1728" w:rsidRPr="00606125">
        <w:rPr>
          <w:rFonts w:ascii="Arial" w:hAnsi="Arial" w:cs="Arial"/>
          <w:lang w:eastAsia="es-MX"/>
        </w:rPr>
        <w:t>de 20</w:t>
      </w:r>
      <w:r w:rsidR="009064EF" w:rsidRPr="00606125">
        <w:rPr>
          <w:rFonts w:ascii="Arial" w:hAnsi="Arial" w:cs="Arial"/>
          <w:lang w:eastAsia="es-MX"/>
        </w:rPr>
        <w:t>20</w:t>
      </w:r>
      <w:r w:rsidR="006F1728" w:rsidRPr="00606125">
        <w:rPr>
          <w:rFonts w:ascii="Arial" w:hAnsi="Arial" w:cs="Arial"/>
          <w:lang w:eastAsia="es-MX"/>
        </w:rPr>
        <w:t>.-</w:t>
      </w:r>
      <w:r w:rsidR="00C62E98" w:rsidRPr="00606125">
        <w:rPr>
          <w:rFonts w:ascii="Arial" w:hAnsi="Arial" w:cs="Arial"/>
          <w:lang w:eastAsia="es-MX"/>
        </w:rPr>
        <w:t xml:space="preserve"> </w:t>
      </w:r>
      <w:r w:rsidR="00061780" w:rsidRPr="00606125">
        <w:rPr>
          <w:rFonts w:ascii="Arial" w:hAnsi="Arial" w:cs="Arial"/>
          <w:lang w:eastAsia="es-MX"/>
        </w:rPr>
        <w:t xml:space="preserve">El Instituto Veracruzano de Acceso a la Información y Protección de Datos Personales (IVAI) desarrolla sus funciones esenciales y de atención al público y sujetos obligados por medios electrónicos, aun con la ausencia de dos comisionados y la emergencia sanitaria del </w:t>
      </w:r>
      <w:r w:rsidR="00C260E6" w:rsidRPr="00606125">
        <w:rPr>
          <w:rFonts w:ascii="Arial" w:hAnsi="Arial" w:cs="Arial"/>
          <w:lang w:eastAsia="es-MX"/>
        </w:rPr>
        <w:t>COVID</w:t>
      </w:r>
      <w:r w:rsidR="00061780" w:rsidRPr="00606125">
        <w:rPr>
          <w:rFonts w:ascii="Arial" w:hAnsi="Arial" w:cs="Arial"/>
          <w:lang w:eastAsia="es-MX"/>
        </w:rPr>
        <w:t>-19.</w:t>
      </w:r>
    </w:p>
    <w:p w:rsidR="00061780" w:rsidRPr="00606125" w:rsidRDefault="00061780" w:rsidP="00061780">
      <w:pPr>
        <w:rPr>
          <w:rFonts w:ascii="Arial" w:hAnsi="Arial" w:cs="Arial"/>
          <w:lang w:eastAsia="es-MX"/>
        </w:rPr>
      </w:pPr>
    </w:p>
    <w:p w:rsidR="00061780" w:rsidRPr="00606125" w:rsidRDefault="00061780" w:rsidP="00061780">
      <w:pPr>
        <w:rPr>
          <w:rFonts w:ascii="Arial" w:hAnsi="Arial" w:cs="Arial"/>
          <w:lang w:eastAsia="es-MX"/>
        </w:rPr>
      </w:pPr>
      <w:r w:rsidRPr="00606125">
        <w:rPr>
          <w:rFonts w:ascii="Arial" w:hAnsi="Arial" w:cs="Arial"/>
          <w:lang w:eastAsia="es-MX"/>
        </w:rPr>
        <w:t xml:space="preserve">El Congreso del Estado de Veracruz notificó la tarde del lunes las renuncias de los comisionados del IVAI, José Rubén Mendoza  Hernández y Arturo Mariscal Rodríguez, a la recién nombrada comisionada de este órgano garante, </w:t>
      </w:r>
      <w:proofErr w:type="spellStart"/>
      <w:r w:rsidRPr="00606125">
        <w:rPr>
          <w:rFonts w:ascii="Arial" w:hAnsi="Arial" w:cs="Arial"/>
          <w:lang w:eastAsia="es-MX"/>
        </w:rPr>
        <w:t>Naldy</w:t>
      </w:r>
      <w:proofErr w:type="spellEnd"/>
      <w:r w:rsidRPr="00606125">
        <w:rPr>
          <w:rFonts w:ascii="Arial" w:hAnsi="Arial" w:cs="Arial"/>
          <w:lang w:eastAsia="es-MX"/>
        </w:rPr>
        <w:t xml:space="preserve"> Patricia Rodríguez </w:t>
      </w:r>
      <w:proofErr w:type="spellStart"/>
      <w:r w:rsidRPr="00606125">
        <w:rPr>
          <w:rFonts w:ascii="Arial" w:hAnsi="Arial" w:cs="Arial"/>
          <w:lang w:eastAsia="es-MX"/>
        </w:rPr>
        <w:t>Lagunes</w:t>
      </w:r>
      <w:proofErr w:type="spellEnd"/>
      <w:r w:rsidRPr="00606125">
        <w:rPr>
          <w:rFonts w:ascii="Arial" w:hAnsi="Arial" w:cs="Arial"/>
          <w:lang w:eastAsia="es-MX"/>
        </w:rPr>
        <w:t xml:space="preserve">. Por lo anterior, ese Poder debe resolver y designar a quienes los sustituyan, como señala la Constitución de Veracruz y la </w:t>
      </w:r>
      <w:r w:rsidR="005D1501" w:rsidRPr="00606125">
        <w:rPr>
          <w:rFonts w:ascii="Arial" w:hAnsi="Arial" w:cs="Arial"/>
          <w:lang w:eastAsia="es-MX"/>
        </w:rPr>
        <w:t>Ley 875 de Transparencia y Acceso a la Información Pública para el Estado de Veracruz</w:t>
      </w:r>
      <w:r w:rsidRPr="00606125">
        <w:rPr>
          <w:rFonts w:ascii="Arial" w:hAnsi="Arial" w:cs="Arial"/>
          <w:lang w:eastAsia="es-MX"/>
        </w:rPr>
        <w:t>.</w:t>
      </w:r>
    </w:p>
    <w:p w:rsidR="00061780" w:rsidRPr="00606125" w:rsidRDefault="00061780" w:rsidP="00061780">
      <w:pPr>
        <w:rPr>
          <w:rFonts w:ascii="Arial" w:hAnsi="Arial" w:cs="Arial"/>
          <w:lang w:eastAsia="es-MX"/>
        </w:rPr>
      </w:pPr>
    </w:p>
    <w:p w:rsidR="00C566A0" w:rsidRPr="00606125" w:rsidRDefault="00061780" w:rsidP="00061780">
      <w:pPr>
        <w:rPr>
          <w:rFonts w:ascii="Arial" w:hAnsi="Arial" w:cs="Arial"/>
          <w:lang w:eastAsia="es-MX"/>
        </w:rPr>
      </w:pPr>
      <w:r w:rsidRPr="00606125">
        <w:rPr>
          <w:rFonts w:ascii="Arial" w:hAnsi="Arial" w:cs="Arial"/>
          <w:lang w:eastAsia="es-MX"/>
        </w:rPr>
        <w:t>Ante esta situación, dijo que está garantizado el pago de la nó</w:t>
      </w:r>
      <w:r w:rsidR="005D1501" w:rsidRPr="00606125">
        <w:rPr>
          <w:rFonts w:ascii="Arial" w:hAnsi="Arial" w:cs="Arial"/>
          <w:lang w:eastAsia="es-MX"/>
        </w:rPr>
        <w:t>mina de quienes trabajan en el I</w:t>
      </w:r>
      <w:r w:rsidRPr="00606125">
        <w:rPr>
          <w:rFonts w:ascii="Arial" w:hAnsi="Arial" w:cs="Arial"/>
          <w:lang w:eastAsia="es-MX"/>
        </w:rPr>
        <w:t>nstituto, así como la asistencia virtual a las dependencias, ayuntamientos y ciudadanía en general para garantizar el derecho de acceso a la información y la protección de los datos personales.</w:t>
      </w:r>
    </w:p>
    <w:p w:rsidR="00C566A0" w:rsidRPr="00606125" w:rsidRDefault="00C566A0" w:rsidP="00C566A0">
      <w:pPr>
        <w:rPr>
          <w:rFonts w:ascii="Arial" w:hAnsi="Arial" w:cs="Arial"/>
          <w:lang w:eastAsia="es-MX"/>
        </w:rPr>
      </w:pPr>
    </w:p>
    <w:p w:rsidR="00C566A0" w:rsidRPr="00606125" w:rsidRDefault="00061780" w:rsidP="00C566A0">
      <w:pPr>
        <w:rPr>
          <w:rFonts w:ascii="Arial" w:hAnsi="Arial" w:cs="Arial"/>
          <w:lang w:eastAsia="es-MX"/>
        </w:rPr>
      </w:pPr>
      <w:r w:rsidRPr="00606125">
        <w:rPr>
          <w:rFonts w:ascii="Arial" w:hAnsi="Arial" w:cs="Arial"/>
          <w:lang w:eastAsia="es-MX"/>
        </w:rPr>
        <w:t xml:space="preserve">Anunció también que se recorre el periodo de carga de las </w:t>
      </w:r>
      <w:r w:rsidR="005D1501" w:rsidRPr="00606125">
        <w:rPr>
          <w:rFonts w:ascii="Arial" w:hAnsi="Arial" w:cs="Arial"/>
          <w:lang w:eastAsia="es-MX"/>
        </w:rPr>
        <w:t>obligaciones de t</w:t>
      </w:r>
      <w:r w:rsidRPr="00606125">
        <w:rPr>
          <w:rFonts w:ascii="Arial" w:hAnsi="Arial" w:cs="Arial"/>
          <w:lang w:eastAsia="es-MX"/>
        </w:rPr>
        <w:t xml:space="preserve">ransparencia </w:t>
      </w:r>
      <w:r w:rsidR="007328AC" w:rsidRPr="00606125">
        <w:rPr>
          <w:rFonts w:ascii="Arial" w:hAnsi="Arial" w:cs="Arial"/>
          <w:lang w:eastAsia="es-MX"/>
        </w:rPr>
        <w:t xml:space="preserve">correspondientes al primer trimestre del ejercicio 2020 </w:t>
      </w:r>
      <w:r w:rsidR="005D1501" w:rsidRPr="00606125">
        <w:rPr>
          <w:rFonts w:ascii="Arial" w:hAnsi="Arial" w:cs="Arial"/>
          <w:lang w:eastAsia="es-MX"/>
        </w:rPr>
        <w:t>para los 401</w:t>
      </w:r>
      <w:r w:rsidRPr="00606125">
        <w:rPr>
          <w:rFonts w:ascii="Arial" w:hAnsi="Arial" w:cs="Arial"/>
          <w:lang w:eastAsia="es-MX"/>
        </w:rPr>
        <w:t xml:space="preserve"> sujetos obligados en Veracruz, por única ocasión, para efectuarse del 1 al 31 de mayo, en concordancia con el acuerdo emitido por el Instituto Nacional de Transparencia</w:t>
      </w:r>
      <w:r w:rsidR="005D1501" w:rsidRPr="00606125">
        <w:rPr>
          <w:rFonts w:ascii="Arial" w:hAnsi="Arial" w:cs="Arial"/>
          <w:lang w:eastAsia="es-MX"/>
        </w:rPr>
        <w:t xml:space="preserve">, </w:t>
      </w:r>
      <w:r w:rsidRPr="00606125">
        <w:rPr>
          <w:rFonts w:ascii="Arial" w:hAnsi="Arial" w:cs="Arial"/>
          <w:lang w:eastAsia="es-MX"/>
        </w:rPr>
        <w:t>Acceso a la Información</w:t>
      </w:r>
      <w:r w:rsidR="005D1501" w:rsidRPr="00606125">
        <w:rPr>
          <w:rFonts w:ascii="Arial" w:hAnsi="Arial" w:cs="Arial"/>
          <w:lang w:eastAsia="es-MX"/>
        </w:rPr>
        <w:t xml:space="preserve"> y Protección de Datos Personales</w:t>
      </w:r>
      <w:r w:rsidRPr="00606125">
        <w:rPr>
          <w:rFonts w:ascii="Arial" w:hAnsi="Arial" w:cs="Arial"/>
          <w:lang w:eastAsia="es-MX"/>
        </w:rPr>
        <w:t xml:space="preserve"> (INAI).</w:t>
      </w:r>
    </w:p>
    <w:p w:rsidR="00061780" w:rsidRPr="00606125" w:rsidRDefault="00061780" w:rsidP="00C566A0">
      <w:pPr>
        <w:rPr>
          <w:rFonts w:ascii="Arial" w:hAnsi="Arial" w:cs="Arial"/>
          <w:lang w:eastAsia="es-MX"/>
        </w:rPr>
      </w:pPr>
    </w:p>
    <w:p w:rsidR="00C566A0" w:rsidRPr="00606125" w:rsidRDefault="00C566A0" w:rsidP="00C566A0">
      <w:pPr>
        <w:rPr>
          <w:rFonts w:ascii="Arial" w:hAnsi="Arial" w:cs="Arial"/>
          <w:lang w:eastAsia="es-MX"/>
        </w:rPr>
      </w:pPr>
      <w:r w:rsidRPr="00606125">
        <w:rPr>
          <w:rFonts w:ascii="Arial" w:hAnsi="Arial" w:cs="Arial"/>
          <w:lang w:eastAsia="es-MX"/>
        </w:rPr>
        <w:t>La servidora pública informó que</w:t>
      </w:r>
      <w:r w:rsidR="00256242" w:rsidRPr="00606125">
        <w:rPr>
          <w:rFonts w:ascii="Arial" w:hAnsi="Arial" w:cs="Arial"/>
          <w:lang w:eastAsia="es-MX"/>
        </w:rPr>
        <w:t>,</w:t>
      </w:r>
      <w:r w:rsidRPr="00606125">
        <w:rPr>
          <w:rFonts w:ascii="Arial" w:hAnsi="Arial" w:cs="Arial"/>
          <w:lang w:eastAsia="es-MX"/>
        </w:rPr>
        <w:t xml:space="preserve"> de manera virtual, el IVAI se sumará activamente a la promoción de fuentes confiables para que la ciudadanía </w:t>
      </w:r>
      <w:r w:rsidR="00256242" w:rsidRPr="00606125">
        <w:rPr>
          <w:rFonts w:ascii="Arial" w:hAnsi="Arial" w:cs="Arial"/>
          <w:lang w:eastAsia="es-MX"/>
        </w:rPr>
        <w:t>las consulte ante la emergencia sanitaria por el c</w:t>
      </w:r>
      <w:r w:rsidRPr="00606125">
        <w:rPr>
          <w:rFonts w:ascii="Arial" w:hAnsi="Arial" w:cs="Arial"/>
          <w:lang w:eastAsia="es-MX"/>
        </w:rPr>
        <w:t>oronavirus. A través de medios electrónicos, precisó, se brinda asesoría a la ciudadanía y a los sujetos obligados, además de iniciar una campaña de promoción con recomendaciones.</w:t>
      </w:r>
    </w:p>
    <w:p w:rsidR="00C566A0" w:rsidRPr="00606125" w:rsidRDefault="00C566A0" w:rsidP="00C566A0">
      <w:pPr>
        <w:rPr>
          <w:rFonts w:ascii="Arial" w:hAnsi="Arial" w:cs="Arial"/>
          <w:lang w:eastAsia="es-MX"/>
        </w:rPr>
      </w:pPr>
    </w:p>
    <w:p w:rsidR="00C566A0" w:rsidRPr="00606125" w:rsidRDefault="00C566A0" w:rsidP="00C566A0">
      <w:pPr>
        <w:rPr>
          <w:rFonts w:ascii="Arial" w:hAnsi="Arial" w:cs="Arial"/>
          <w:lang w:eastAsia="es-MX"/>
        </w:rPr>
      </w:pPr>
      <w:r w:rsidRPr="00606125">
        <w:rPr>
          <w:rFonts w:ascii="Arial" w:hAnsi="Arial" w:cs="Arial"/>
          <w:lang w:eastAsia="es-MX"/>
        </w:rPr>
        <w:t>Destacó que se respetarán todas y cada una de las recomendaciones de las autoridades competente</w:t>
      </w:r>
      <w:bookmarkStart w:id="0" w:name="_GoBack"/>
      <w:bookmarkEnd w:id="0"/>
      <w:r w:rsidRPr="00606125">
        <w:rPr>
          <w:rFonts w:ascii="Arial" w:hAnsi="Arial" w:cs="Arial"/>
          <w:lang w:eastAsia="es-MX"/>
        </w:rPr>
        <w:t xml:space="preserve">s frente a la </w:t>
      </w:r>
      <w:r w:rsidR="00EA4789" w:rsidRPr="00606125">
        <w:rPr>
          <w:rFonts w:ascii="Arial" w:hAnsi="Arial" w:cs="Arial"/>
          <w:lang w:eastAsia="es-MX"/>
        </w:rPr>
        <w:t>pandemia global</w:t>
      </w:r>
      <w:r w:rsidRPr="00606125">
        <w:rPr>
          <w:rFonts w:ascii="Arial" w:hAnsi="Arial" w:cs="Arial"/>
          <w:lang w:eastAsia="es-MX"/>
        </w:rPr>
        <w:t xml:space="preserve">, </w:t>
      </w:r>
      <w:r w:rsidRPr="00B462ED">
        <w:rPr>
          <w:rFonts w:ascii="Arial" w:hAnsi="Arial" w:cs="Arial"/>
          <w:lang w:eastAsia="es-MX"/>
        </w:rPr>
        <w:t xml:space="preserve">como </w:t>
      </w:r>
      <w:r w:rsidR="00EA4789" w:rsidRPr="00B462ED">
        <w:rPr>
          <w:rFonts w:ascii="Arial" w:hAnsi="Arial" w:cs="Arial"/>
          <w:lang w:eastAsia="es-MX"/>
        </w:rPr>
        <w:t>el a</w:t>
      </w:r>
      <w:r w:rsidRPr="00B462ED">
        <w:rPr>
          <w:rFonts w:ascii="Arial" w:hAnsi="Arial" w:cs="Arial"/>
          <w:lang w:eastAsia="es-MX"/>
        </w:rPr>
        <w:t>cuerdo de</w:t>
      </w:r>
      <w:r w:rsidR="00B462ED" w:rsidRPr="00B462ED">
        <w:rPr>
          <w:rFonts w:ascii="Arial" w:hAnsi="Arial" w:cs="Arial"/>
          <w:lang w:eastAsia="es-MX"/>
        </w:rPr>
        <w:t>l Consejo de Salubridad General</w:t>
      </w:r>
      <w:r w:rsidRPr="00B462ED">
        <w:rPr>
          <w:rFonts w:ascii="Arial" w:hAnsi="Arial" w:cs="Arial"/>
          <w:lang w:eastAsia="es-MX"/>
        </w:rPr>
        <w:t xml:space="preserve"> fecha 30 de marzo en el que se señala que: “Los servicios no esenciales de los sec</w:t>
      </w:r>
      <w:r w:rsidRPr="00606125">
        <w:rPr>
          <w:rFonts w:ascii="Arial" w:hAnsi="Arial" w:cs="Arial"/>
          <w:lang w:eastAsia="es-MX"/>
        </w:rPr>
        <w:t>tores social y privado deberán adoptar de inmediato modalidades de teletrabajo, trabajo a distancia o análogos, sin que las actividades de sus trabajadores impliquen un acto presencial”.</w:t>
      </w:r>
    </w:p>
    <w:p w:rsidR="00C566A0" w:rsidRPr="00606125" w:rsidRDefault="00C566A0" w:rsidP="00C566A0">
      <w:pPr>
        <w:rPr>
          <w:rFonts w:ascii="Arial" w:hAnsi="Arial" w:cs="Arial"/>
          <w:lang w:eastAsia="es-MX"/>
        </w:rPr>
      </w:pPr>
    </w:p>
    <w:p w:rsidR="00793177" w:rsidRDefault="00C566A0" w:rsidP="00C566A0">
      <w:pPr>
        <w:rPr>
          <w:rFonts w:ascii="Arial" w:hAnsi="Arial" w:cs="Arial"/>
          <w:lang w:eastAsia="es-MX"/>
        </w:rPr>
      </w:pPr>
      <w:r w:rsidRPr="00606125">
        <w:rPr>
          <w:rFonts w:ascii="Arial" w:hAnsi="Arial" w:cs="Arial"/>
          <w:lang w:eastAsia="es-MX"/>
        </w:rPr>
        <w:t xml:space="preserve">Desde el 17 de marzo, mediante el acuerdo ACT/ODG/SE-07/17/03/2020, el Pleno anterior suspendió los plazos y términos de todos los procedimientos en el IVAI ante la contingencia del </w:t>
      </w:r>
      <w:r w:rsidR="00EA4789" w:rsidRPr="00606125">
        <w:rPr>
          <w:rFonts w:ascii="Arial" w:hAnsi="Arial" w:cs="Arial"/>
          <w:lang w:eastAsia="es-MX"/>
        </w:rPr>
        <w:t xml:space="preserve">COVID-19 y </w:t>
      </w:r>
      <w:r w:rsidRPr="00606125">
        <w:rPr>
          <w:rFonts w:ascii="Arial" w:hAnsi="Arial" w:cs="Arial"/>
          <w:lang w:eastAsia="es-MX"/>
        </w:rPr>
        <w:t>establecieron guardias con el mínimo del personal. Además, del 9 al 17 de abril se encuentra ya programado el periodo vacacional de Semana Santa.</w:t>
      </w:r>
    </w:p>
    <w:p w:rsidR="00A8268F" w:rsidRPr="00A8268F" w:rsidRDefault="00A8268F" w:rsidP="00D76E35">
      <w:pPr>
        <w:jc w:val="center"/>
        <w:rPr>
          <w:rFonts w:ascii="Arial" w:hAnsi="Arial" w:cs="Arial"/>
          <w:b/>
          <w:lang w:eastAsia="es-MX"/>
        </w:rPr>
      </w:pPr>
      <w:r w:rsidRPr="00606125">
        <w:rPr>
          <w:b/>
          <w:color w:val="000000"/>
          <w:sz w:val="27"/>
          <w:szCs w:val="27"/>
        </w:rPr>
        <w:t>---000---</w:t>
      </w:r>
    </w:p>
    <w:sectPr w:rsidR="00A8268F" w:rsidRPr="00A8268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A4" w:rsidRDefault="001672A4" w:rsidP="00E418E4">
      <w:r>
        <w:separator/>
      </w:r>
    </w:p>
  </w:endnote>
  <w:endnote w:type="continuationSeparator" w:id="0">
    <w:p w:rsidR="001672A4" w:rsidRDefault="001672A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A4" w:rsidRDefault="001672A4" w:rsidP="00E418E4">
      <w:r>
        <w:separator/>
      </w:r>
    </w:p>
  </w:footnote>
  <w:footnote w:type="continuationSeparator" w:id="0">
    <w:p w:rsidR="001672A4" w:rsidRDefault="001672A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10</w:t>
    </w:r>
  </w:p>
  <w:p w:rsidR="00B74E5B" w:rsidRPr="00ED0024" w:rsidRDefault="00C566A0" w:rsidP="00C33AFE">
    <w:pPr>
      <w:pStyle w:val="Encabezado"/>
      <w:rPr>
        <w:rFonts w:ascii="Arial Narrow" w:hAnsi="Arial Narrow"/>
        <w:b/>
        <w:sz w:val="20"/>
        <w:szCs w:val="20"/>
      </w:rPr>
    </w:pPr>
    <w:r>
      <w:rPr>
        <w:rFonts w:ascii="Arial Narrow" w:hAnsi="Arial Narrow"/>
        <w:b/>
        <w:sz w:val="20"/>
        <w:szCs w:val="20"/>
      </w:rPr>
      <w:t>31</w:t>
    </w:r>
    <w:r w:rsidR="00482A48">
      <w:rPr>
        <w:rFonts w:ascii="Arial Narrow" w:hAnsi="Arial Narrow"/>
        <w:b/>
        <w:sz w:val="20"/>
        <w:szCs w:val="20"/>
      </w:rPr>
      <w:t>/03</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2"/>
  </w:num>
  <w:num w:numId="5">
    <w:abstractNumId w:val="41"/>
  </w:num>
  <w:num w:numId="6">
    <w:abstractNumId w:val="35"/>
  </w:num>
  <w:num w:numId="7">
    <w:abstractNumId w:val="29"/>
  </w:num>
  <w:num w:numId="8">
    <w:abstractNumId w:val="8"/>
  </w:num>
  <w:num w:numId="9">
    <w:abstractNumId w:val="26"/>
  </w:num>
  <w:num w:numId="10">
    <w:abstractNumId w:val="21"/>
  </w:num>
  <w:num w:numId="11">
    <w:abstractNumId w:val="1"/>
  </w:num>
  <w:num w:numId="12">
    <w:abstractNumId w:val="0"/>
  </w:num>
  <w:num w:numId="13">
    <w:abstractNumId w:val="20"/>
  </w:num>
  <w:num w:numId="14">
    <w:abstractNumId w:val="13"/>
  </w:num>
  <w:num w:numId="15">
    <w:abstractNumId w:val="40"/>
  </w:num>
  <w:num w:numId="16">
    <w:abstractNumId w:val="36"/>
  </w:num>
  <w:num w:numId="17">
    <w:abstractNumId w:val="6"/>
  </w:num>
  <w:num w:numId="18">
    <w:abstractNumId w:val="30"/>
  </w:num>
  <w:num w:numId="19">
    <w:abstractNumId w:val="14"/>
  </w:num>
  <w:num w:numId="20">
    <w:abstractNumId w:val="11"/>
  </w:num>
  <w:num w:numId="21">
    <w:abstractNumId w:val="17"/>
  </w:num>
  <w:num w:numId="22">
    <w:abstractNumId w:val="32"/>
  </w:num>
  <w:num w:numId="23">
    <w:abstractNumId w:val="22"/>
  </w:num>
  <w:num w:numId="24">
    <w:abstractNumId w:val="34"/>
  </w:num>
  <w:num w:numId="25">
    <w:abstractNumId w:val="23"/>
  </w:num>
  <w:num w:numId="26">
    <w:abstractNumId w:val="31"/>
  </w:num>
  <w:num w:numId="27">
    <w:abstractNumId w:val="43"/>
  </w:num>
  <w:num w:numId="28">
    <w:abstractNumId w:val="33"/>
  </w:num>
  <w:num w:numId="29">
    <w:abstractNumId w:val="4"/>
  </w:num>
  <w:num w:numId="30">
    <w:abstractNumId w:val="7"/>
  </w:num>
  <w:num w:numId="31">
    <w:abstractNumId w:val="15"/>
  </w:num>
  <w:num w:numId="32">
    <w:abstractNumId w:val="44"/>
  </w:num>
  <w:num w:numId="33">
    <w:abstractNumId w:val="12"/>
  </w:num>
  <w:num w:numId="34">
    <w:abstractNumId w:val="25"/>
  </w:num>
  <w:num w:numId="35">
    <w:abstractNumId w:val="2"/>
  </w:num>
  <w:num w:numId="36">
    <w:abstractNumId w:val="10"/>
  </w:num>
  <w:num w:numId="37">
    <w:abstractNumId w:val="39"/>
  </w:num>
  <w:num w:numId="38">
    <w:abstractNumId w:val="24"/>
  </w:num>
  <w:num w:numId="39">
    <w:abstractNumId w:val="27"/>
  </w:num>
  <w:num w:numId="40">
    <w:abstractNumId w:val="28"/>
  </w:num>
  <w:num w:numId="41">
    <w:abstractNumId w:val="9"/>
  </w:num>
  <w:num w:numId="42">
    <w:abstractNumId w:val="16"/>
  </w:num>
  <w:num w:numId="43">
    <w:abstractNumId w:val="38"/>
  </w:num>
  <w:num w:numId="44">
    <w:abstractNumId w:val="37"/>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597D"/>
    <w:rsid w:val="001E662C"/>
    <w:rsid w:val="001E77D2"/>
    <w:rsid w:val="001E7B7E"/>
    <w:rsid w:val="001E7BBC"/>
    <w:rsid w:val="001F030A"/>
    <w:rsid w:val="001F0B31"/>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286"/>
    <w:rsid w:val="009B06B4"/>
    <w:rsid w:val="009B0C96"/>
    <w:rsid w:val="009B101E"/>
    <w:rsid w:val="009B102F"/>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6BEE"/>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32"/>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UnresolvedMention">
    <w:name w:val="Unresolved Mention"/>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70E3F-C42C-4084-A3A0-86FE2A64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2</cp:revision>
  <cp:lastPrinted>2017-03-23T00:31:00Z</cp:lastPrinted>
  <dcterms:created xsi:type="dcterms:W3CDTF">2020-03-31T20:55:00Z</dcterms:created>
  <dcterms:modified xsi:type="dcterms:W3CDTF">2020-03-31T20:55:00Z</dcterms:modified>
</cp:coreProperties>
</file>