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C16" w:rsidRPr="00F96BEF" w:rsidRDefault="00AD4DB4" w:rsidP="00CE4E56">
      <w:pPr>
        <w:jc w:val="center"/>
        <w:rPr>
          <w:rFonts w:ascii="Arial" w:hAnsi="Arial" w:cs="Arial"/>
          <w:sz w:val="20"/>
          <w:szCs w:val="20"/>
          <w:lang w:eastAsia="es-MX"/>
        </w:rPr>
      </w:pPr>
      <w:r w:rsidRPr="00F96BEF">
        <w:rPr>
          <w:rFonts w:ascii="Arial" w:hAnsi="Arial" w:cs="Arial"/>
          <w:sz w:val="20"/>
          <w:szCs w:val="20"/>
          <w:lang w:eastAsia="es-MX"/>
        </w:rPr>
        <w:t>Permite i</w:t>
      </w:r>
      <w:r w:rsidR="00741C16" w:rsidRPr="00F96BEF">
        <w:rPr>
          <w:rFonts w:ascii="Arial" w:hAnsi="Arial" w:cs="Arial"/>
          <w:sz w:val="20"/>
          <w:szCs w:val="20"/>
          <w:lang w:eastAsia="es-MX"/>
        </w:rPr>
        <w:t>dentifica</w:t>
      </w:r>
      <w:r w:rsidRPr="00F96BEF">
        <w:rPr>
          <w:rFonts w:ascii="Arial" w:hAnsi="Arial" w:cs="Arial"/>
          <w:sz w:val="20"/>
          <w:szCs w:val="20"/>
          <w:lang w:eastAsia="es-MX"/>
        </w:rPr>
        <w:t>r</w:t>
      </w:r>
      <w:r w:rsidR="00741C16" w:rsidRPr="00F96BEF">
        <w:rPr>
          <w:rFonts w:ascii="Arial" w:hAnsi="Arial" w:cs="Arial"/>
          <w:sz w:val="20"/>
          <w:szCs w:val="20"/>
          <w:lang w:eastAsia="es-MX"/>
        </w:rPr>
        <w:t xml:space="preserve"> entidad federativa, año de incorporación y nacimiento </w:t>
      </w:r>
    </w:p>
    <w:p w:rsidR="00741C16" w:rsidRPr="00F96BEF" w:rsidRDefault="00741C16" w:rsidP="00CE4E56">
      <w:pPr>
        <w:jc w:val="center"/>
        <w:rPr>
          <w:rFonts w:ascii="Arial" w:hAnsi="Arial" w:cs="Arial"/>
          <w:b/>
          <w:sz w:val="16"/>
          <w:szCs w:val="16"/>
          <w:lang w:eastAsia="es-MX"/>
        </w:rPr>
      </w:pPr>
    </w:p>
    <w:p w:rsidR="00571103" w:rsidRPr="00F96BEF" w:rsidRDefault="00571103" w:rsidP="00571103">
      <w:pPr>
        <w:jc w:val="center"/>
        <w:rPr>
          <w:rFonts w:ascii="Arial" w:hAnsi="Arial" w:cs="Arial"/>
          <w:b/>
          <w:sz w:val="28"/>
          <w:szCs w:val="28"/>
          <w:lang w:eastAsia="es-MX"/>
        </w:rPr>
      </w:pPr>
      <w:r w:rsidRPr="00F96BEF">
        <w:rPr>
          <w:rFonts w:ascii="Arial" w:hAnsi="Arial" w:cs="Arial"/>
          <w:b/>
          <w:sz w:val="28"/>
          <w:szCs w:val="28"/>
          <w:lang w:eastAsia="es-MX"/>
        </w:rPr>
        <w:t xml:space="preserve">Número de seguridad social de trabajadores </w:t>
      </w:r>
    </w:p>
    <w:p w:rsidR="006D60C5" w:rsidRPr="00F96BEF" w:rsidRDefault="00571103" w:rsidP="00571103">
      <w:pPr>
        <w:jc w:val="center"/>
        <w:rPr>
          <w:rFonts w:ascii="Arial" w:hAnsi="Arial" w:cs="Arial"/>
          <w:b/>
          <w:sz w:val="28"/>
          <w:szCs w:val="28"/>
          <w:lang w:eastAsia="es-MX"/>
        </w:rPr>
      </w:pPr>
      <w:r w:rsidRPr="00F96BEF">
        <w:rPr>
          <w:rFonts w:ascii="Arial" w:hAnsi="Arial" w:cs="Arial"/>
          <w:b/>
          <w:sz w:val="28"/>
          <w:szCs w:val="28"/>
          <w:lang w:eastAsia="es-MX"/>
        </w:rPr>
        <w:t>es de estricta confidencialidad: IVAI</w:t>
      </w:r>
    </w:p>
    <w:p w:rsidR="009064EF" w:rsidRPr="00F96BEF" w:rsidRDefault="009064EF" w:rsidP="009064EF">
      <w:pPr>
        <w:jc w:val="center"/>
        <w:rPr>
          <w:rFonts w:ascii="Arial" w:hAnsi="Arial" w:cs="Arial"/>
          <w:b/>
          <w:sz w:val="16"/>
          <w:szCs w:val="16"/>
          <w:lang w:eastAsia="es-MX"/>
        </w:rPr>
      </w:pPr>
    </w:p>
    <w:p w:rsidR="00F73A20" w:rsidRPr="00F96BEF" w:rsidRDefault="00F73A20" w:rsidP="00362566">
      <w:pPr>
        <w:pStyle w:val="Prrafodelista"/>
        <w:numPr>
          <w:ilvl w:val="0"/>
          <w:numId w:val="36"/>
        </w:numPr>
        <w:ind w:left="284" w:hanging="207"/>
        <w:rPr>
          <w:rFonts w:ascii="Arial" w:hAnsi="Arial" w:cs="Arial"/>
          <w:sz w:val="20"/>
          <w:szCs w:val="20"/>
          <w:lang w:eastAsia="es-MX"/>
        </w:rPr>
      </w:pPr>
      <w:r w:rsidRPr="00F96BEF">
        <w:rPr>
          <w:rFonts w:ascii="Arial" w:hAnsi="Arial" w:cs="Arial"/>
          <w:sz w:val="20"/>
          <w:szCs w:val="20"/>
          <w:lang w:eastAsia="es-MX"/>
        </w:rPr>
        <w:t>Si número de empleado se integra con datos personales o funciona como clave de acceso sin requerir contraseña, también debe ser clasificado</w:t>
      </w:r>
    </w:p>
    <w:p w:rsidR="00DE1395" w:rsidRPr="00F96BEF" w:rsidRDefault="00DE1395" w:rsidP="00362566">
      <w:pPr>
        <w:pStyle w:val="Prrafodelista"/>
        <w:numPr>
          <w:ilvl w:val="0"/>
          <w:numId w:val="36"/>
        </w:numPr>
        <w:ind w:left="284" w:hanging="207"/>
        <w:rPr>
          <w:rFonts w:ascii="Arial" w:hAnsi="Arial" w:cs="Arial"/>
          <w:sz w:val="20"/>
          <w:szCs w:val="20"/>
          <w:lang w:eastAsia="es-MX"/>
        </w:rPr>
      </w:pPr>
      <w:r w:rsidRPr="00F96BEF">
        <w:rPr>
          <w:rFonts w:ascii="Arial" w:hAnsi="Arial" w:cs="Arial"/>
          <w:sz w:val="20"/>
          <w:szCs w:val="20"/>
          <w:lang w:eastAsia="es-MX"/>
        </w:rPr>
        <w:t xml:space="preserve">IVAI insta a jefa de departamento del IVEC por remitir </w:t>
      </w:r>
      <w:r w:rsidR="00C02583" w:rsidRPr="00F96BEF">
        <w:rPr>
          <w:rFonts w:ascii="Arial" w:hAnsi="Arial" w:cs="Arial"/>
          <w:sz w:val="20"/>
          <w:szCs w:val="20"/>
          <w:lang w:eastAsia="es-MX"/>
        </w:rPr>
        <w:t xml:space="preserve">enlace </w:t>
      </w:r>
      <w:r w:rsidRPr="00F96BEF">
        <w:rPr>
          <w:rFonts w:ascii="Arial" w:hAnsi="Arial" w:cs="Arial"/>
          <w:sz w:val="20"/>
          <w:szCs w:val="20"/>
          <w:lang w:eastAsia="es-MX"/>
        </w:rPr>
        <w:t>con credenciales de elector</w:t>
      </w:r>
    </w:p>
    <w:p w:rsidR="001468C6" w:rsidRPr="00F96BEF" w:rsidRDefault="001468C6" w:rsidP="001468C6">
      <w:pPr>
        <w:pStyle w:val="Prrafodelista"/>
        <w:ind w:left="284"/>
        <w:rPr>
          <w:rFonts w:ascii="Arial" w:hAnsi="Arial" w:cs="Arial"/>
          <w:lang w:eastAsia="es-MX"/>
        </w:rPr>
      </w:pPr>
    </w:p>
    <w:p w:rsidR="00F73A20" w:rsidRPr="00F96BEF" w:rsidRDefault="00CA6FA5" w:rsidP="00360CFB">
      <w:pPr>
        <w:rPr>
          <w:rFonts w:ascii="Arial" w:hAnsi="Arial" w:cs="Arial"/>
          <w:lang w:eastAsia="es-MX"/>
        </w:rPr>
      </w:pPr>
      <w:r w:rsidRPr="00F96BEF">
        <w:rPr>
          <w:rFonts w:ascii="Arial" w:hAnsi="Arial" w:cs="Arial"/>
          <w:lang w:eastAsia="es-MX"/>
        </w:rPr>
        <w:t>Xalapa</w:t>
      </w:r>
      <w:r w:rsidR="006F1728" w:rsidRPr="00F96BEF">
        <w:rPr>
          <w:rFonts w:ascii="Arial" w:hAnsi="Arial" w:cs="Arial"/>
          <w:lang w:eastAsia="es-MX"/>
        </w:rPr>
        <w:t xml:space="preserve">, Ver., </w:t>
      </w:r>
      <w:r w:rsidR="00412CE4" w:rsidRPr="00F96BEF">
        <w:rPr>
          <w:rFonts w:ascii="Arial" w:hAnsi="Arial" w:cs="Arial"/>
          <w:lang w:eastAsia="es-MX"/>
        </w:rPr>
        <w:t>1</w:t>
      </w:r>
      <w:r w:rsidR="00433389" w:rsidRPr="00F96BEF">
        <w:rPr>
          <w:rFonts w:ascii="Arial" w:hAnsi="Arial" w:cs="Arial"/>
          <w:lang w:eastAsia="es-MX"/>
        </w:rPr>
        <w:t>0</w:t>
      </w:r>
      <w:r w:rsidR="005B4FC9" w:rsidRPr="00F96BEF">
        <w:rPr>
          <w:rFonts w:ascii="Arial" w:hAnsi="Arial" w:cs="Arial"/>
          <w:lang w:eastAsia="es-MX"/>
        </w:rPr>
        <w:t xml:space="preserve"> </w:t>
      </w:r>
      <w:r w:rsidR="006F1728" w:rsidRPr="00F96BEF">
        <w:rPr>
          <w:rFonts w:ascii="Arial" w:hAnsi="Arial" w:cs="Arial"/>
          <w:lang w:eastAsia="es-MX"/>
        </w:rPr>
        <w:t xml:space="preserve">de </w:t>
      </w:r>
      <w:r w:rsidR="00433389" w:rsidRPr="00F96BEF">
        <w:rPr>
          <w:rFonts w:ascii="Arial" w:hAnsi="Arial" w:cs="Arial"/>
          <w:lang w:eastAsia="es-MX"/>
        </w:rPr>
        <w:t xml:space="preserve">febrero </w:t>
      </w:r>
      <w:r w:rsidR="006F1728" w:rsidRPr="00F96BEF">
        <w:rPr>
          <w:rFonts w:ascii="Arial" w:hAnsi="Arial" w:cs="Arial"/>
          <w:lang w:eastAsia="es-MX"/>
        </w:rPr>
        <w:t>de 20</w:t>
      </w:r>
      <w:r w:rsidR="009064EF" w:rsidRPr="00F96BEF">
        <w:rPr>
          <w:rFonts w:ascii="Arial" w:hAnsi="Arial" w:cs="Arial"/>
          <w:lang w:eastAsia="es-MX"/>
        </w:rPr>
        <w:t>20</w:t>
      </w:r>
      <w:r w:rsidR="006F1728" w:rsidRPr="00F96BEF">
        <w:rPr>
          <w:rFonts w:ascii="Arial" w:hAnsi="Arial" w:cs="Arial"/>
          <w:lang w:eastAsia="es-MX"/>
        </w:rPr>
        <w:t xml:space="preserve">.- </w:t>
      </w:r>
      <w:r w:rsidR="00AD4DB4" w:rsidRPr="00F96BEF">
        <w:rPr>
          <w:rFonts w:ascii="Arial" w:hAnsi="Arial" w:cs="Arial"/>
          <w:lang w:eastAsia="es-MX"/>
        </w:rPr>
        <w:t>E</w:t>
      </w:r>
      <w:r w:rsidR="00571103" w:rsidRPr="00F96BEF">
        <w:rPr>
          <w:rFonts w:ascii="Arial" w:hAnsi="Arial" w:cs="Arial"/>
          <w:lang w:eastAsia="es-MX"/>
        </w:rPr>
        <w:t>l número de seguridad social que el Instituto Mexicano del Seguro Social (IMSS) asigna a cada trabajador cuando es registrado por primera vez</w:t>
      </w:r>
      <w:r w:rsidR="00AD4DB4" w:rsidRPr="00F96BEF">
        <w:rPr>
          <w:rFonts w:ascii="Arial" w:hAnsi="Arial" w:cs="Arial"/>
          <w:lang w:eastAsia="es-MX"/>
        </w:rPr>
        <w:t xml:space="preserve"> está integrado por diez dígitos numéricos y un dígito verificador que permite </w:t>
      </w:r>
      <w:r w:rsidR="00571103" w:rsidRPr="00F96BEF">
        <w:rPr>
          <w:rFonts w:ascii="Arial" w:hAnsi="Arial" w:cs="Arial"/>
          <w:lang w:eastAsia="es-MX"/>
        </w:rPr>
        <w:t>identifica</w:t>
      </w:r>
      <w:r w:rsidR="00AD4DB4" w:rsidRPr="00F96BEF">
        <w:rPr>
          <w:rFonts w:ascii="Arial" w:hAnsi="Arial" w:cs="Arial"/>
          <w:lang w:eastAsia="es-MX"/>
        </w:rPr>
        <w:t>r</w:t>
      </w:r>
      <w:r w:rsidR="00571103" w:rsidRPr="00F96BEF">
        <w:rPr>
          <w:rFonts w:ascii="Arial" w:hAnsi="Arial" w:cs="Arial"/>
          <w:lang w:eastAsia="es-MX"/>
        </w:rPr>
        <w:t xml:space="preserve"> entidad federativa donde se otorga, año de incorporación, año de nacimiento y número progresivo</w:t>
      </w:r>
      <w:r w:rsidR="00C75937" w:rsidRPr="00F96BEF">
        <w:rPr>
          <w:rFonts w:ascii="Arial" w:hAnsi="Arial" w:cs="Arial"/>
          <w:lang w:eastAsia="es-MX"/>
        </w:rPr>
        <w:t>;</w:t>
      </w:r>
      <w:r w:rsidR="00AD4DB4" w:rsidRPr="00F96BEF">
        <w:rPr>
          <w:rFonts w:ascii="Arial" w:hAnsi="Arial" w:cs="Arial"/>
          <w:lang w:eastAsia="es-MX"/>
        </w:rPr>
        <w:t xml:space="preserve"> por lo que es </w:t>
      </w:r>
      <w:r w:rsidR="00571103" w:rsidRPr="00F96BEF">
        <w:rPr>
          <w:rFonts w:ascii="Arial" w:hAnsi="Arial" w:cs="Arial"/>
          <w:lang w:eastAsia="es-MX"/>
        </w:rPr>
        <w:t>un dato personal que debe mantenerse bajo estricta confidencialidad</w:t>
      </w:r>
      <w:r w:rsidR="009A50FA" w:rsidRPr="00F96BEF">
        <w:rPr>
          <w:rFonts w:ascii="Arial" w:hAnsi="Arial" w:cs="Arial"/>
          <w:lang w:eastAsia="es-MX"/>
        </w:rPr>
        <w:t>. Igualmente, c</w:t>
      </w:r>
      <w:r w:rsidR="00F73A20" w:rsidRPr="00F96BEF">
        <w:rPr>
          <w:rFonts w:ascii="Arial" w:hAnsi="Arial" w:cs="Arial"/>
          <w:lang w:eastAsia="es-MX"/>
        </w:rPr>
        <w:t xml:space="preserve">uando el número de empleado o su equivalente se integra con datos personales de los trabajadores o funciona como una clave de acceso que no requiere adicionalmente una contraseña para ingresar a sistemas o bases </w:t>
      </w:r>
      <w:r w:rsidR="00C75937" w:rsidRPr="00F96BEF">
        <w:rPr>
          <w:rFonts w:ascii="Arial" w:hAnsi="Arial" w:cs="Arial"/>
          <w:lang w:eastAsia="es-MX"/>
        </w:rPr>
        <w:t xml:space="preserve">donde </w:t>
      </w:r>
      <w:r w:rsidR="00F73A20" w:rsidRPr="00F96BEF">
        <w:rPr>
          <w:rFonts w:ascii="Arial" w:hAnsi="Arial" w:cs="Arial"/>
          <w:lang w:eastAsia="es-MX"/>
        </w:rPr>
        <w:t xml:space="preserve">obran datos personales, deberá ser clasificado </w:t>
      </w:r>
      <w:r w:rsidR="00C75937" w:rsidRPr="00F96BEF">
        <w:rPr>
          <w:rFonts w:ascii="Arial" w:hAnsi="Arial" w:cs="Arial"/>
          <w:lang w:eastAsia="es-MX"/>
        </w:rPr>
        <w:t xml:space="preserve">también </w:t>
      </w:r>
      <w:r w:rsidR="009A50FA" w:rsidRPr="00F96BEF">
        <w:rPr>
          <w:rFonts w:ascii="Arial" w:hAnsi="Arial" w:cs="Arial"/>
          <w:lang w:eastAsia="es-MX"/>
        </w:rPr>
        <w:t xml:space="preserve">como confidencial. </w:t>
      </w:r>
    </w:p>
    <w:p w:rsidR="00F73A20" w:rsidRPr="00F96BEF" w:rsidRDefault="00F73A20" w:rsidP="00360CFB">
      <w:pPr>
        <w:rPr>
          <w:rFonts w:ascii="Arial" w:hAnsi="Arial" w:cs="Arial"/>
          <w:lang w:eastAsia="es-MX"/>
        </w:rPr>
      </w:pPr>
    </w:p>
    <w:p w:rsidR="00177BB7" w:rsidRPr="00F96BEF" w:rsidRDefault="009A50FA" w:rsidP="00AB42B7">
      <w:pPr>
        <w:rPr>
          <w:rFonts w:ascii="Arial" w:hAnsi="Arial" w:cs="Arial"/>
          <w:lang w:eastAsia="es-MX"/>
        </w:rPr>
      </w:pPr>
      <w:r w:rsidRPr="00F96BEF">
        <w:rPr>
          <w:rFonts w:ascii="Arial" w:hAnsi="Arial" w:cs="Arial"/>
          <w:lang w:eastAsia="es-MX"/>
        </w:rPr>
        <w:t xml:space="preserve">Estos son </w:t>
      </w:r>
      <w:r w:rsidR="00177BB7" w:rsidRPr="00F96BEF">
        <w:rPr>
          <w:rFonts w:ascii="Arial" w:hAnsi="Arial" w:cs="Arial"/>
          <w:lang w:eastAsia="es-MX"/>
        </w:rPr>
        <w:t xml:space="preserve">datos personales que el IVEC deberá omitir para acatar la sentencia </w:t>
      </w:r>
      <w:r w:rsidRPr="00F96BEF">
        <w:rPr>
          <w:rFonts w:ascii="Arial" w:hAnsi="Arial" w:cs="Arial"/>
          <w:lang w:eastAsia="es-MX"/>
        </w:rPr>
        <w:t xml:space="preserve">del Instituto Veracruzano de Acceso a la Información y Protección de Datos Personales (IVAI) dentro del recurso de revisión IVAI-REV/429/2019/II interpuesto en contra del Instituto Veracruzano de la Cultura (IVEC), </w:t>
      </w:r>
      <w:r w:rsidR="00177BB7" w:rsidRPr="00F96BEF">
        <w:rPr>
          <w:rFonts w:ascii="Arial" w:hAnsi="Arial" w:cs="Arial"/>
          <w:lang w:eastAsia="es-MX"/>
        </w:rPr>
        <w:t xml:space="preserve">que tiene como antecedente la solicitud de una </w:t>
      </w:r>
      <w:r w:rsidR="00AB42B7" w:rsidRPr="00F96BEF">
        <w:rPr>
          <w:rFonts w:ascii="Arial" w:hAnsi="Arial" w:cs="Arial"/>
          <w:lang w:eastAsia="es-MX"/>
        </w:rPr>
        <w:t xml:space="preserve">persona </w:t>
      </w:r>
      <w:r w:rsidR="00177BB7" w:rsidRPr="00F96BEF">
        <w:rPr>
          <w:rFonts w:ascii="Arial" w:hAnsi="Arial" w:cs="Arial"/>
          <w:lang w:eastAsia="es-MX"/>
        </w:rPr>
        <w:t xml:space="preserve">para conocer </w:t>
      </w:r>
      <w:r w:rsidR="00AB42B7" w:rsidRPr="00F96BEF">
        <w:rPr>
          <w:rFonts w:ascii="Arial" w:hAnsi="Arial" w:cs="Arial"/>
          <w:lang w:eastAsia="es-MX"/>
        </w:rPr>
        <w:t xml:space="preserve">las fechas de altas y bajas ante el IMSS, realizadas del 1 de diciembre de 2016 al 15 de diciembre de 2018, </w:t>
      </w:r>
      <w:r w:rsidR="00177BB7" w:rsidRPr="00F96BEF">
        <w:rPr>
          <w:rFonts w:ascii="Arial" w:hAnsi="Arial" w:cs="Arial"/>
          <w:lang w:eastAsia="es-MX"/>
        </w:rPr>
        <w:t xml:space="preserve">con </w:t>
      </w:r>
      <w:r w:rsidR="00AB42B7" w:rsidRPr="00F96BEF">
        <w:rPr>
          <w:rFonts w:ascii="Arial" w:hAnsi="Arial" w:cs="Arial"/>
          <w:lang w:eastAsia="es-MX"/>
        </w:rPr>
        <w:t xml:space="preserve">nombre y sueldo con el cual fue dado de alta el trabajador. </w:t>
      </w:r>
    </w:p>
    <w:p w:rsidR="00177BB7" w:rsidRPr="00F96BEF" w:rsidRDefault="00177BB7" w:rsidP="00AB42B7">
      <w:pPr>
        <w:rPr>
          <w:rFonts w:ascii="Arial" w:hAnsi="Arial" w:cs="Arial"/>
          <w:lang w:eastAsia="es-MX"/>
        </w:rPr>
      </w:pPr>
    </w:p>
    <w:p w:rsidR="005860BC" w:rsidRPr="00F96BEF" w:rsidRDefault="005860BC" w:rsidP="00AB42B7">
      <w:pPr>
        <w:rPr>
          <w:rFonts w:ascii="Arial" w:hAnsi="Arial" w:cs="Arial"/>
          <w:lang w:eastAsia="es-MX"/>
        </w:rPr>
      </w:pPr>
      <w:r w:rsidRPr="00F96BEF">
        <w:rPr>
          <w:rFonts w:ascii="Arial" w:hAnsi="Arial" w:cs="Arial"/>
          <w:lang w:eastAsia="es-MX"/>
        </w:rPr>
        <w:t>L</w:t>
      </w:r>
      <w:r w:rsidR="000874AA" w:rsidRPr="00F96BEF">
        <w:rPr>
          <w:rFonts w:ascii="Arial" w:hAnsi="Arial" w:cs="Arial"/>
          <w:lang w:eastAsia="es-MX"/>
        </w:rPr>
        <w:t xml:space="preserve">a inconformidad del </w:t>
      </w:r>
      <w:r w:rsidR="00C75937" w:rsidRPr="00F96BEF">
        <w:rPr>
          <w:rFonts w:ascii="Arial" w:hAnsi="Arial" w:cs="Arial"/>
          <w:lang w:eastAsia="es-MX"/>
        </w:rPr>
        <w:t xml:space="preserve">peticionario </w:t>
      </w:r>
      <w:r w:rsidR="000874AA" w:rsidRPr="00F96BEF">
        <w:rPr>
          <w:rFonts w:ascii="Arial" w:hAnsi="Arial" w:cs="Arial"/>
          <w:lang w:eastAsia="es-MX"/>
        </w:rPr>
        <w:t>surgió a raíz de que el sujeto obligado no adjuntó el archivo soporte de su respuesta</w:t>
      </w:r>
      <w:r w:rsidR="00C75937" w:rsidRPr="00F96BEF">
        <w:rPr>
          <w:rFonts w:ascii="Arial" w:hAnsi="Arial" w:cs="Arial"/>
          <w:lang w:eastAsia="es-MX"/>
        </w:rPr>
        <w:t xml:space="preserve">. Si bien el IVEC </w:t>
      </w:r>
      <w:r w:rsidR="000874AA" w:rsidRPr="00F96BEF">
        <w:rPr>
          <w:rFonts w:ascii="Arial" w:hAnsi="Arial" w:cs="Arial"/>
          <w:lang w:eastAsia="es-MX"/>
        </w:rPr>
        <w:t>lo envió posteriormente por correo al IVAI</w:t>
      </w:r>
      <w:r w:rsidRPr="00F96BEF">
        <w:rPr>
          <w:rFonts w:ascii="Arial" w:hAnsi="Arial" w:cs="Arial"/>
          <w:lang w:eastAsia="es-MX"/>
        </w:rPr>
        <w:t xml:space="preserve">, </w:t>
      </w:r>
      <w:r w:rsidR="00C75937" w:rsidRPr="00F96BEF">
        <w:rPr>
          <w:rFonts w:ascii="Arial" w:hAnsi="Arial" w:cs="Arial"/>
          <w:lang w:eastAsia="es-MX"/>
        </w:rPr>
        <w:t xml:space="preserve">al hacerlo </w:t>
      </w:r>
      <w:r w:rsidRPr="00F96BEF">
        <w:rPr>
          <w:rFonts w:ascii="Arial" w:hAnsi="Arial" w:cs="Arial"/>
          <w:lang w:eastAsia="es-MX"/>
        </w:rPr>
        <w:t>fuera del plazo que señala la ley</w:t>
      </w:r>
      <w:r w:rsidR="00C75937" w:rsidRPr="00F96BEF">
        <w:rPr>
          <w:rFonts w:ascii="Arial" w:hAnsi="Arial" w:cs="Arial"/>
          <w:lang w:eastAsia="es-MX"/>
        </w:rPr>
        <w:t xml:space="preserve"> </w:t>
      </w:r>
      <w:r w:rsidR="00177BB7" w:rsidRPr="00F96BEF">
        <w:rPr>
          <w:rFonts w:ascii="Arial" w:hAnsi="Arial" w:cs="Arial"/>
          <w:lang w:eastAsia="es-MX"/>
        </w:rPr>
        <w:t xml:space="preserve">–en principio– </w:t>
      </w:r>
      <w:r w:rsidRPr="00F96BEF">
        <w:rPr>
          <w:rFonts w:ascii="Arial" w:hAnsi="Arial" w:cs="Arial"/>
          <w:lang w:eastAsia="es-MX"/>
        </w:rPr>
        <w:t>vulneró el derecho de acceso.</w:t>
      </w:r>
      <w:r w:rsidR="00177BB7" w:rsidRPr="00F96BEF">
        <w:rPr>
          <w:rFonts w:ascii="Arial" w:hAnsi="Arial" w:cs="Arial"/>
          <w:lang w:eastAsia="es-MX"/>
        </w:rPr>
        <w:t xml:space="preserve"> </w:t>
      </w:r>
      <w:r w:rsidR="0051416C" w:rsidRPr="00F96BEF">
        <w:rPr>
          <w:rFonts w:ascii="Arial" w:hAnsi="Arial" w:cs="Arial"/>
          <w:lang w:eastAsia="es-MX"/>
        </w:rPr>
        <w:t xml:space="preserve">En </w:t>
      </w:r>
      <w:r w:rsidR="00C75937" w:rsidRPr="00F96BEF">
        <w:rPr>
          <w:rFonts w:ascii="Arial" w:hAnsi="Arial" w:cs="Arial"/>
          <w:lang w:eastAsia="es-MX"/>
        </w:rPr>
        <w:t xml:space="preserve">la </w:t>
      </w:r>
      <w:r w:rsidR="0051416C" w:rsidRPr="00F96BEF">
        <w:rPr>
          <w:rFonts w:ascii="Arial" w:hAnsi="Arial" w:cs="Arial"/>
          <w:lang w:eastAsia="es-MX"/>
        </w:rPr>
        <w:t xml:space="preserve">respuesta, la jefa del Departamento de Recursos Humanos proporcionó el listado de nombres con fechas de altas y bajas, </w:t>
      </w:r>
      <w:r w:rsidR="00275156" w:rsidRPr="00F96BEF">
        <w:rPr>
          <w:rFonts w:ascii="Arial" w:hAnsi="Arial" w:cs="Arial"/>
          <w:lang w:eastAsia="es-MX"/>
        </w:rPr>
        <w:t xml:space="preserve">sin embargo, respecto </w:t>
      </w:r>
      <w:r w:rsidR="00C75937" w:rsidRPr="00F96BEF">
        <w:rPr>
          <w:rFonts w:ascii="Arial" w:hAnsi="Arial" w:cs="Arial"/>
          <w:lang w:eastAsia="es-MX"/>
        </w:rPr>
        <w:t xml:space="preserve">al </w:t>
      </w:r>
      <w:r w:rsidR="00275156" w:rsidRPr="00F96BEF">
        <w:rPr>
          <w:rFonts w:ascii="Arial" w:hAnsi="Arial" w:cs="Arial"/>
          <w:lang w:eastAsia="es-MX"/>
        </w:rPr>
        <w:t xml:space="preserve">sueldo </w:t>
      </w:r>
      <w:r w:rsidR="00A32C3D" w:rsidRPr="00F96BEF">
        <w:rPr>
          <w:rFonts w:ascii="Arial" w:hAnsi="Arial" w:cs="Arial"/>
          <w:lang w:eastAsia="es-MX"/>
        </w:rPr>
        <w:t>con el cual fueron dados de alta los trabajadores</w:t>
      </w:r>
      <w:r w:rsidR="00C75937" w:rsidRPr="00F96BEF">
        <w:rPr>
          <w:rFonts w:ascii="Arial" w:hAnsi="Arial" w:cs="Arial"/>
          <w:lang w:eastAsia="es-MX"/>
        </w:rPr>
        <w:t>,</w:t>
      </w:r>
      <w:r w:rsidR="00275156" w:rsidRPr="00F96BEF">
        <w:rPr>
          <w:rFonts w:ascii="Arial" w:hAnsi="Arial" w:cs="Arial"/>
          <w:lang w:eastAsia="es-MX"/>
        </w:rPr>
        <w:t xml:space="preserve"> mencionó que las dependencias no están obligadas a elaborar documentos ex profeso para atender las solicitudes de información.</w:t>
      </w:r>
    </w:p>
    <w:p w:rsidR="00275156" w:rsidRPr="00F96BEF" w:rsidRDefault="00275156" w:rsidP="00AB42B7">
      <w:pPr>
        <w:rPr>
          <w:rFonts w:ascii="Arial" w:hAnsi="Arial" w:cs="Arial"/>
          <w:lang w:eastAsia="es-MX"/>
        </w:rPr>
      </w:pPr>
    </w:p>
    <w:p w:rsidR="00A32C3D" w:rsidRPr="00F96BEF" w:rsidRDefault="00D234DE" w:rsidP="00AB42B7">
      <w:pPr>
        <w:rPr>
          <w:rFonts w:ascii="Arial" w:hAnsi="Arial" w:cs="Arial"/>
          <w:lang w:eastAsia="es-MX"/>
        </w:rPr>
      </w:pPr>
      <w:r w:rsidRPr="00F96BEF">
        <w:rPr>
          <w:rFonts w:ascii="Arial" w:hAnsi="Arial" w:cs="Arial"/>
          <w:lang w:eastAsia="es-MX"/>
        </w:rPr>
        <w:t>Contrario a lo manifestado por el IVEC, la Ley del Seguro Social obliga a los patrones a reportar el salario base de cotización al momento de dar de alta a cualquier trabajador</w:t>
      </w:r>
      <w:r w:rsidR="00CD2A41" w:rsidRPr="00F96BEF">
        <w:rPr>
          <w:rFonts w:ascii="Arial" w:hAnsi="Arial" w:cs="Arial"/>
          <w:lang w:eastAsia="es-MX"/>
        </w:rPr>
        <w:t>; por lo que debe</w:t>
      </w:r>
      <w:r w:rsidR="002B3211" w:rsidRPr="00F96BEF">
        <w:rPr>
          <w:rFonts w:ascii="Arial" w:hAnsi="Arial" w:cs="Arial"/>
          <w:lang w:eastAsia="es-MX"/>
        </w:rPr>
        <w:t xml:space="preserve">rá proporcionar el documento donde conste el salario con el cual fueron dados de alta los </w:t>
      </w:r>
      <w:r w:rsidR="00A32C3D" w:rsidRPr="00F96BEF">
        <w:rPr>
          <w:rFonts w:ascii="Arial" w:hAnsi="Arial" w:cs="Arial"/>
          <w:lang w:eastAsia="es-MX"/>
        </w:rPr>
        <w:t xml:space="preserve">que están en </w:t>
      </w:r>
      <w:r w:rsidR="002B3211" w:rsidRPr="00F96BEF">
        <w:rPr>
          <w:rFonts w:ascii="Arial" w:hAnsi="Arial" w:cs="Arial"/>
          <w:lang w:eastAsia="es-MX"/>
        </w:rPr>
        <w:t>lista que proporcionó con las altas y bajas</w:t>
      </w:r>
      <w:r w:rsidR="0097573A" w:rsidRPr="00F96BEF">
        <w:rPr>
          <w:rFonts w:ascii="Arial" w:hAnsi="Arial" w:cs="Arial"/>
          <w:lang w:eastAsia="es-MX"/>
        </w:rPr>
        <w:t xml:space="preserve"> o</w:t>
      </w:r>
      <w:r w:rsidR="00A32C3D" w:rsidRPr="00F96BEF">
        <w:rPr>
          <w:rFonts w:ascii="Arial" w:hAnsi="Arial" w:cs="Arial"/>
          <w:lang w:eastAsia="es-MX"/>
        </w:rPr>
        <w:t>,</w:t>
      </w:r>
      <w:r w:rsidR="0097573A" w:rsidRPr="00F96BEF">
        <w:rPr>
          <w:rFonts w:ascii="Arial" w:hAnsi="Arial" w:cs="Arial"/>
          <w:lang w:eastAsia="es-MX"/>
        </w:rPr>
        <w:t xml:space="preserve"> en su caso, los </w:t>
      </w:r>
      <w:r w:rsidR="002B3211" w:rsidRPr="00F96BEF">
        <w:rPr>
          <w:rFonts w:ascii="Arial" w:hAnsi="Arial" w:cs="Arial"/>
          <w:lang w:eastAsia="es-MX"/>
        </w:rPr>
        <w:t>Comprobantes Fiscales Digitales por Internet (CFDI)</w:t>
      </w:r>
      <w:r w:rsidR="00A32C3D" w:rsidRPr="00F96BEF">
        <w:rPr>
          <w:rFonts w:ascii="Arial" w:hAnsi="Arial" w:cs="Arial"/>
          <w:lang w:eastAsia="es-MX"/>
        </w:rPr>
        <w:t xml:space="preserve"> si es que estos </w:t>
      </w:r>
      <w:r w:rsidR="002B3211" w:rsidRPr="00F96BEF">
        <w:rPr>
          <w:rFonts w:ascii="Arial" w:hAnsi="Arial" w:cs="Arial"/>
          <w:lang w:eastAsia="es-MX"/>
        </w:rPr>
        <w:t>contienen el salario base de cotización</w:t>
      </w:r>
      <w:r w:rsidR="00A32C3D" w:rsidRPr="00F96BEF">
        <w:rPr>
          <w:rFonts w:ascii="Arial" w:hAnsi="Arial" w:cs="Arial"/>
          <w:lang w:eastAsia="es-MX"/>
        </w:rPr>
        <w:t>.</w:t>
      </w:r>
    </w:p>
    <w:p w:rsidR="00A32C3D" w:rsidRPr="00F96BEF" w:rsidRDefault="00A32C3D" w:rsidP="00AB42B7">
      <w:pPr>
        <w:rPr>
          <w:rFonts w:ascii="Arial" w:hAnsi="Arial" w:cs="Arial"/>
          <w:lang w:eastAsia="es-MX"/>
        </w:rPr>
      </w:pPr>
    </w:p>
    <w:p w:rsidR="00177BB7" w:rsidRPr="00F96BEF" w:rsidRDefault="00A32C3D" w:rsidP="00AB42B7">
      <w:pPr>
        <w:rPr>
          <w:rFonts w:ascii="Arial" w:hAnsi="Arial" w:cs="Arial"/>
          <w:lang w:eastAsia="es-MX"/>
        </w:rPr>
      </w:pPr>
      <w:r w:rsidRPr="00F96BEF">
        <w:rPr>
          <w:rFonts w:ascii="Arial" w:hAnsi="Arial" w:cs="Arial"/>
          <w:lang w:eastAsia="es-MX"/>
        </w:rPr>
        <w:t>De ser así,</w:t>
      </w:r>
      <w:r w:rsidR="002B3211" w:rsidRPr="00F96BEF">
        <w:rPr>
          <w:rFonts w:ascii="Arial" w:hAnsi="Arial" w:cs="Arial"/>
          <w:lang w:eastAsia="es-MX"/>
        </w:rPr>
        <w:t xml:space="preserve"> deberá entregar versión pública </w:t>
      </w:r>
      <w:bookmarkStart w:id="0" w:name="_Hlk32249591"/>
      <w:r w:rsidR="002B3211" w:rsidRPr="00F96BEF">
        <w:rPr>
          <w:rFonts w:ascii="Arial" w:hAnsi="Arial" w:cs="Arial"/>
          <w:lang w:eastAsia="es-MX"/>
        </w:rPr>
        <w:t>aprobada por su Comité de Transparencia</w:t>
      </w:r>
      <w:bookmarkEnd w:id="0"/>
      <w:r w:rsidR="0079403B" w:rsidRPr="00F96BEF">
        <w:rPr>
          <w:rFonts w:ascii="Arial" w:hAnsi="Arial" w:cs="Arial"/>
          <w:lang w:eastAsia="es-MX"/>
        </w:rPr>
        <w:t xml:space="preserve"> donde se elimine, además, </w:t>
      </w:r>
      <w:r w:rsidR="00177BB7" w:rsidRPr="00F96BEF">
        <w:rPr>
          <w:rFonts w:ascii="Arial" w:hAnsi="Arial" w:cs="Arial"/>
          <w:lang w:eastAsia="es-MX"/>
        </w:rPr>
        <w:t>Registro Federal de Contribuyentes, Clave Única del Registro de Población, número de cuenta bancario del trabajador, Código de Respuesta Rápida</w:t>
      </w:r>
      <w:r w:rsidR="00B10A9C" w:rsidRPr="00F96BEF">
        <w:rPr>
          <w:rFonts w:ascii="Arial" w:hAnsi="Arial" w:cs="Arial"/>
          <w:lang w:eastAsia="es-MX"/>
        </w:rPr>
        <w:t xml:space="preserve"> (conocido como Código QR que aparece en los CFDI)</w:t>
      </w:r>
      <w:r w:rsidR="00C75937" w:rsidRPr="00F96BEF">
        <w:rPr>
          <w:rFonts w:ascii="Arial" w:hAnsi="Arial" w:cs="Arial"/>
          <w:lang w:eastAsia="es-MX"/>
        </w:rPr>
        <w:t xml:space="preserve"> y</w:t>
      </w:r>
      <w:r w:rsidR="00177BB7" w:rsidRPr="00F96BEF">
        <w:rPr>
          <w:rFonts w:ascii="Arial" w:hAnsi="Arial" w:cs="Arial"/>
          <w:lang w:eastAsia="es-MX"/>
        </w:rPr>
        <w:t xml:space="preserve"> deducciones sobre l</w:t>
      </w:r>
      <w:r w:rsidR="00C75937" w:rsidRPr="00F96BEF">
        <w:rPr>
          <w:rFonts w:ascii="Arial" w:hAnsi="Arial" w:cs="Arial"/>
          <w:lang w:eastAsia="es-MX"/>
        </w:rPr>
        <w:t>a</w:t>
      </w:r>
      <w:r w:rsidR="00177BB7" w:rsidRPr="00F96BEF">
        <w:rPr>
          <w:rFonts w:ascii="Arial" w:hAnsi="Arial" w:cs="Arial"/>
          <w:lang w:eastAsia="es-MX"/>
        </w:rPr>
        <w:t xml:space="preserve">s cuales deba mantener secrecía, </w:t>
      </w:r>
      <w:r w:rsidR="00D46B85" w:rsidRPr="00F96BEF">
        <w:rPr>
          <w:rFonts w:ascii="Arial" w:hAnsi="Arial" w:cs="Arial"/>
          <w:lang w:eastAsia="es-MX"/>
        </w:rPr>
        <w:t xml:space="preserve">entre otros que se consideren protegidos por la ley de datos personales. </w:t>
      </w:r>
    </w:p>
    <w:p w:rsidR="00D234DE" w:rsidRPr="00F96BEF" w:rsidRDefault="00D234DE" w:rsidP="00AB42B7">
      <w:pPr>
        <w:rPr>
          <w:rFonts w:ascii="Arial" w:hAnsi="Arial" w:cs="Arial"/>
          <w:lang w:eastAsia="es-MX"/>
        </w:rPr>
      </w:pPr>
    </w:p>
    <w:p w:rsidR="00275156" w:rsidRPr="00F96BEF" w:rsidRDefault="004544CF" w:rsidP="00AB42B7">
      <w:pPr>
        <w:rPr>
          <w:rFonts w:ascii="Arial" w:hAnsi="Arial" w:cs="Arial"/>
          <w:lang w:eastAsia="es-MX"/>
        </w:rPr>
      </w:pPr>
      <w:r w:rsidRPr="00F96BEF">
        <w:rPr>
          <w:rFonts w:ascii="Arial" w:hAnsi="Arial" w:cs="Arial"/>
          <w:lang w:eastAsia="es-MX"/>
        </w:rPr>
        <w:lastRenderedPageBreak/>
        <w:t xml:space="preserve">Por otro lado, al revisar la información remitida por el IVEC, el </w:t>
      </w:r>
      <w:r w:rsidR="00C75937" w:rsidRPr="00F96BEF">
        <w:rPr>
          <w:rFonts w:ascii="Arial" w:hAnsi="Arial" w:cs="Arial"/>
          <w:lang w:eastAsia="es-MX"/>
        </w:rPr>
        <w:t>órgano garante</w:t>
      </w:r>
      <w:r w:rsidRPr="00F96BEF">
        <w:rPr>
          <w:rFonts w:ascii="Arial" w:hAnsi="Arial" w:cs="Arial"/>
          <w:lang w:eastAsia="es-MX"/>
        </w:rPr>
        <w:t xml:space="preserve"> advirtió la transmisión indebida de datos personales </w:t>
      </w:r>
      <w:bookmarkStart w:id="1" w:name="_GoBack"/>
      <w:bookmarkEnd w:id="1"/>
      <w:r w:rsidRPr="00F96BEF">
        <w:rPr>
          <w:rFonts w:ascii="Arial" w:hAnsi="Arial" w:cs="Arial"/>
          <w:lang w:eastAsia="es-MX"/>
        </w:rPr>
        <w:t xml:space="preserve">dentro de un disco compacto, pues contenía una liga para descargar un archivo </w:t>
      </w:r>
      <w:r w:rsidR="00C75937" w:rsidRPr="00F96BEF">
        <w:rPr>
          <w:rFonts w:ascii="Arial" w:hAnsi="Arial" w:cs="Arial"/>
          <w:lang w:eastAsia="es-MX"/>
        </w:rPr>
        <w:t xml:space="preserve">con </w:t>
      </w:r>
      <w:r w:rsidRPr="00F96BEF">
        <w:rPr>
          <w:rFonts w:ascii="Arial" w:hAnsi="Arial" w:cs="Arial"/>
          <w:lang w:eastAsia="es-MX"/>
        </w:rPr>
        <w:t>información sobre diversos contratos, a los que se anexa</w:t>
      </w:r>
      <w:r w:rsidR="00C75937" w:rsidRPr="00F96BEF">
        <w:rPr>
          <w:rFonts w:ascii="Arial" w:hAnsi="Arial" w:cs="Arial"/>
          <w:lang w:eastAsia="es-MX"/>
        </w:rPr>
        <w:t>ro</w:t>
      </w:r>
      <w:r w:rsidRPr="00F96BEF">
        <w:rPr>
          <w:rFonts w:ascii="Arial" w:hAnsi="Arial" w:cs="Arial"/>
          <w:lang w:eastAsia="es-MX"/>
        </w:rPr>
        <w:t>n credenciales de elector.</w:t>
      </w:r>
      <w:r w:rsidR="00FA7D15" w:rsidRPr="00F96BEF">
        <w:rPr>
          <w:rFonts w:ascii="Arial" w:hAnsi="Arial" w:cs="Arial"/>
          <w:lang w:eastAsia="es-MX"/>
        </w:rPr>
        <w:t xml:space="preserve"> </w:t>
      </w:r>
      <w:r w:rsidRPr="00F96BEF">
        <w:rPr>
          <w:rFonts w:ascii="Arial" w:hAnsi="Arial" w:cs="Arial"/>
          <w:lang w:eastAsia="es-MX"/>
        </w:rPr>
        <w:t xml:space="preserve">El IVAI determinó remitirlo al secreto de la Secretaría de Acuerdos para no continuar con </w:t>
      </w:r>
      <w:r w:rsidR="00C75937" w:rsidRPr="00F96BEF">
        <w:rPr>
          <w:rFonts w:ascii="Arial" w:hAnsi="Arial" w:cs="Arial"/>
          <w:lang w:eastAsia="es-MX"/>
        </w:rPr>
        <w:t xml:space="preserve">su </w:t>
      </w:r>
      <w:r w:rsidRPr="00F96BEF">
        <w:rPr>
          <w:rFonts w:ascii="Arial" w:hAnsi="Arial" w:cs="Arial"/>
          <w:lang w:eastAsia="es-MX"/>
        </w:rPr>
        <w:t>indebida divulgación.</w:t>
      </w:r>
      <w:r w:rsidR="00FA7D15" w:rsidRPr="00F96BEF">
        <w:rPr>
          <w:rFonts w:ascii="Arial" w:hAnsi="Arial" w:cs="Arial"/>
          <w:lang w:eastAsia="es-MX"/>
        </w:rPr>
        <w:t xml:space="preserve"> </w:t>
      </w:r>
    </w:p>
    <w:p w:rsidR="00FA7D15" w:rsidRPr="00F96BEF" w:rsidRDefault="00FA7D15" w:rsidP="00AB42B7">
      <w:pPr>
        <w:rPr>
          <w:rFonts w:ascii="Arial" w:hAnsi="Arial" w:cs="Arial"/>
          <w:lang w:eastAsia="es-MX"/>
        </w:rPr>
      </w:pPr>
    </w:p>
    <w:p w:rsidR="00FA7D15" w:rsidRPr="00F96BEF" w:rsidRDefault="00FA7D15" w:rsidP="00AB42B7">
      <w:pPr>
        <w:rPr>
          <w:rFonts w:ascii="Arial" w:hAnsi="Arial" w:cs="Arial"/>
          <w:lang w:eastAsia="es-MX"/>
        </w:rPr>
      </w:pPr>
      <w:r w:rsidRPr="00F96BEF">
        <w:rPr>
          <w:rFonts w:ascii="Arial" w:hAnsi="Arial" w:cs="Arial"/>
          <w:lang w:eastAsia="es-MX"/>
        </w:rPr>
        <w:t xml:space="preserve">Por tal razón, los comisionados José Rubén Mendoza Hernández, </w:t>
      </w:r>
      <w:proofErr w:type="spellStart"/>
      <w:r w:rsidRPr="00F96BEF">
        <w:rPr>
          <w:rFonts w:ascii="Arial" w:hAnsi="Arial" w:cs="Arial"/>
          <w:lang w:eastAsia="es-MX"/>
        </w:rPr>
        <w:t>Yolli</w:t>
      </w:r>
      <w:proofErr w:type="spellEnd"/>
      <w:r w:rsidRPr="00F96BEF">
        <w:rPr>
          <w:rFonts w:ascii="Arial" w:hAnsi="Arial" w:cs="Arial"/>
          <w:lang w:eastAsia="es-MX"/>
        </w:rPr>
        <w:t xml:space="preserve"> García </w:t>
      </w:r>
      <w:proofErr w:type="spellStart"/>
      <w:r w:rsidRPr="00F96BEF">
        <w:rPr>
          <w:rFonts w:ascii="Arial" w:hAnsi="Arial" w:cs="Arial"/>
          <w:lang w:eastAsia="es-MX"/>
        </w:rPr>
        <w:t>Alvarez</w:t>
      </w:r>
      <w:proofErr w:type="spellEnd"/>
      <w:r w:rsidRPr="00F96BEF">
        <w:rPr>
          <w:rFonts w:ascii="Arial" w:hAnsi="Arial" w:cs="Arial"/>
          <w:lang w:eastAsia="es-MX"/>
        </w:rPr>
        <w:t xml:space="preserve"> y Arturo Mariscal Rodríguez instaron a la jefa del Departamento de Recursos Humanos para que en futuras ocasiones verifique que la documentación y ligas electrónicas que adjunte a sus respuestas no contengan datos personales o confidenciales; de no hacerlo, se hará acreedora a cualquiera de las sanciones previstas.</w:t>
      </w:r>
    </w:p>
    <w:p w:rsidR="00AB42B7" w:rsidRPr="00F96BEF" w:rsidRDefault="00AB42B7" w:rsidP="00412CE4">
      <w:pPr>
        <w:rPr>
          <w:rFonts w:ascii="Arial" w:hAnsi="Arial" w:cs="Arial"/>
          <w:lang w:eastAsia="es-MX"/>
        </w:rPr>
      </w:pPr>
    </w:p>
    <w:p w:rsidR="00790CE5" w:rsidRPr="00F96BEF" w:rsidRDefault="0030057B" w:rsidP="00256A92">
      <w:pPr>
        <w:rPr>
          <w:rFonts w:ascii="Arial" w:hAnsi="Arial" w:cs="Arial"/>
          <w:lang w:eastAsia="es-MX"/>
        </w:rPr>
      </w:pPr>
      <w:r w:rsidRPr="00F96BEF">
        <w:rPr>
          <w:rFonts w:ascii="Arial" w:hAnsi="Arial" w:cs="Arial"/>
          <w:lang w:eastAsia="es-MX"/>
        </w:rPr>
        <w:t xml:space="preserve">En la sesión pública de hoy se emitieron </w:t>
      </w:r>
      <w:r w:rsidR="00FE0723" w:rsidRPr="00F96BEF">
        <w:rPr>
          <w:rFonts w:ascii="Arial" w:hAnsi="Arial" w:cs="Arial"/>
          <w:lang w:eastAsia="es-MX"/>
        </w:rPr>
        <w:t>1</w:t>
      </w:r>
      <w:r w:rsidR="00EC6958" w:rsidRPr="00F96BEF">
        <w:rPr>
          <w:rFonts w:ascii="Arial" w:hAnsi="Arial" w:cs="Arial"/>
          <w:lang w:eastAsia="es-MX"/>
        </w:rPr>
        <w:t>33</w:t>
      </w:r>
      <w:r w:rsidR="00FE0723" w:rsidRPr="00F96BEF">
        <w:rPr>
          <w:rFonts w:ascii="Arial" w:hAnsi="Arial" w:cs="Arial"/>
          <w:lang w:eastAsia="es-MX"/>
        </w:rPr>
        <w:t xml:space="preserve"> </w:t>
      </w:r>
      <w:r w:rsidRPr="00F96BEF">
        <w:rPr>
          <w:rFonts w:ascii="Arial" w:hAnsi="Arial" w:cs="Arial"/>
          <w:lang w:eastAsia="es-MX"/>
        </w:rPr>
        <w:t xml:space="preserve">sentencias, correspondientes a </w:t>
      </w:r>
      <w:r w:rsidR="00B070AC" w:rsidRPr="00F96BEF">
        <w:rPr>
          <w:rFonts w:ascii="Arial" w:hAnsi="Arial" w:cs="Arial"/>
          <w:lang w:eastAsia="es-MX"/>
        </w:rPr>
        <w:t>374</w:t>
      </w:r>
      <w:r w:rsidR="00FE0723" w:rsidRPr="00F96BEF">
        <w:rPr>
          <w:rFonts w:ascii="Arial" w:hAnsi="Arial" w:cs="Arial"/>
          <w:lang w:eastAsia="es-MX"/>
        </w:rPr>
        <w:t xml:space="preserve"> </w:t>
      </w:r>
      <w:r w:rsidR="00D52923" w:rsidRPr="00F96BEF">
        <w:rPr>
          <w:rFonts w:ascii="Arial" w:hAnsi="Arial" w:cs="Arial"/>
          <w:lang w:eastAsia="es-MX"/>
        </w:rPr>
        <w:t>expedientes</w:t>
      </w:r>
      <w:r w:rsidR="00790CE5" w:rsidRPr="00F96BEF">
        <w:rPr>
          <w:rFonts w:ascii="Arial" w:hAnsi="Arial" w:cs="Arial"/>
          <w:lang w:eastAsia="es-MX"/>
        </w:rPr>
        <w:t>. De ellos</w:t>
      </w:r>
      <w:r w:rsidR="005D2ED2" w:rsidRPr="00F96BEF">
        <w:rPr>
          <w:rFonts w:ascii="Arial" w:hAnsi="Arial" w:cs="Arial"/>
          <w:lang w:eastAsia="es-MX"/>
        </w:rPr>
        <w:t>,</w:t>
      </w:r>
      <w:r w:rsidR="0074376B" w:rsidRPr="00F96BEF">
        <w:rPr>
          <w:rFonts w:ascii="Arial" w:hAnsi="Arial" w:cs="Arial"/>
          <w:lang w:eastAsia="es-MX"/>
        </w:rPr>
        <w:t xml:space="preserve"> </w:t>
      </w:r>
      <w:r w:rsidR="00790CE5" w:rsidRPr="00F96BEF">
        <w:rPr>
          <w:rFonts w:ascii="Arial" w:hAnsi="Arial" w:cs="Arial"/>
          <w:lang w:eastAsia="es-MX"/>
        </w:rPr>
        <w:t>352 fueron recursos de revisión, uno en materia de protección de datos personales; 14 correspondieron a expedientes de investigación en materia de protección de datos personales, en los cuales el denunciante no identificó al sujeto obligado responsable; y 8 fueron denuncias por incumplimiento de obligaciones de transparencia</w:t>
      </w:r>
    </w:p>
    <w:p w:rsidR="00790CE5" w:rsidRPr="00F96BEF" w:rsidRDefault="00790CE5" w:rsidP="00256A92">
      <w:pPr>
        <w:rPr>
          <w:rFonts w:ascii="Arial" w:hAnsi="Arial" w:cs="Arial"/>
          <w:lang w:eastAsia="es-MX"/>
        </w:rPr>
      </w:pPr>
    </w:p>
    <w:p w:rsidR="006E286C" w:rsidRPr="00F96BEF" w:rsidRDefault="006E286C" w:rsidP="00256A92">
      <w:pPr>
        <w:rPr>
          <w:rFonts w:ascii="Arial" w:hAnsi="Arial" w:cs="Arial"/>
          <w:lang w:eastAsia="es-MX"/>
        </w:rPr>
      </w:pPr>
    </w:p>
    <w:p w:rsidR="000B4A02" w:rsidRDefault="00CF42EF" w:rsidP="003B596D">
      <w:pPr>
        <w:jc w:val="center"/>
        <w:rPr>
          <w:rFonts w:ascii="Arial" w:hAnsi="Arial" w:cs="Arial"/>
          <w:lang w:eastAsia="es-MX"/>
        </w:rPr>
      </w:pPr>
      <w:r w:rsidRPr="00F96BEF">
        <w:rPr>
          <w:rFonts w:ascii="Arial" w:hAnsi="Arial" w:cs="Arial"/>
          <w:b/>
          <w:lang w:eastAsia="es-MX"/>
        </w:rPr>
        <w:t>---000---</w:t>
      </w:r>
    </w:p>
    <w:sectPr w:rsidR="000B4A02"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5D5" w:rsidRDefault="004025D5" w:rsidP="00E418E4">
      <w:r>
        <w:separator/>
      </w:r>
    </w:p>
  </w:endnote>
  <w:endnote w:type="continuationSeparator" w:id="0">
    <w:p w:rsidR="004025D5" w:rsidRDefault="004025D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5D5" w:rsidRDefault="004025D5" w:rsidP="00E418E4">
      <w:r>
        <w:separator/>
      </w:r>
    </w:p>
  </w:footnote>
  <w:footnote w:type="continuationSeparator" w:id="0">
    <w:p w:rsidR="004025D5" w:rsidRDefault="004025D5"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Pr="00ED0024" w:rsidRDefault="00B74E5B"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proofErr w:type="gramStart"/>
    <w:r w:rsidRPr="00ED0024">
      <w:rPr>
        <w:rFonts w:ascii="Arial Narrow" w:hAnsi="Arial Narrow"/>
        <w:b/>
        <w:sz w:val="20"/>
        <w:szCs w:val="20"/>
      </w:rPr>
      <w:t>BOLETÍN.-</w:t>
    </w:r>
    <w:proofErr w:type="gramEnd"/>
    <w:r w:rsidRPr="00ED0024">
      <w:rPr>
        <w:rFonts w:ascii="Arial Narrow" w:hAnsi="Arial Narrow"/>
        <w:b/>
        <w:sz w:val="20"/>
        <w:szCs w:val="20"/>
      </w:rPr>
      <w:t xml:space="preserve"> </w:t>
    </w:r>
    <w:r w:rsidR="00433389">
      <w:rPr>
        <w:rFonts w:ascii="Arial Narrow" w:hAnsi="Arial Narrow"/>
        <w:b/>
        <w:sz w:val="20"/>
        <w:szCs w:val="20"/>
      </w:rPr>
      <w:t>4</w:t>
    </w:r>
  </w:p>
  <w:p w:rsidR="00B74E5B" w:rsidRPr="00ED0024" w:rsidRDefault="009064EF" w:rsidP="00C33AFE">
    <w:pPr>
      <w:pStyle w:val="Encabezado"/>
      <w:rPr>
        <w:rFonts w:ascii="Arial Narrow" w:hAnsi="Arial Narrow"/>
        <w:b/>
        <w:sz w:val="20"/>
        <w:szCs w:val="20"/>
      </w:rPr>
    </w:pPr>
    <w:r>
      <w:rPr>
        <w:rFonts w:ascii="Arial Narrow" w:hAnsi="Arial Narrow"/>
        <w:b/>
        <w:sz w:val="20"/>
        <w:szCs w:val="20"/>
      </w:rPr>
      <w:t>1</w:t>
    </w:r>
    <w:r w:rsidR="00433389">
      <w:rPr>
        <w:rFonts w:ascii="Arial Narrow" w:hAnsi="Arial Narrow"/>
        <w:b/>
        <w:sz w:val="20"/>
        <w:szCs w:val="20"/>
      </w:rPr>
      <w:t>0</w:t>
    </w:r>
    <w:r w:rsidR="00B74E5B">
      <w:rPr>
        <w:rFonts w:ascii="Arial Narrow" w:hAnsi="Arial Narrow"/>
        <w:b/>
        <w:sz w:val="20"/>
        <w:szCs w:val="20"/>
      </w:rPr>
      <w:t>/</w:t>
    </w:r>
    <w:r>
      <w:rPr>
        <w:rFonts w:ascii="Arial Narrow" w:hAnsi="Arial Narrow"/>
        <w:b/>
        <w:sz w:val="20"/>
        <w:szCs w:val="20"/>
      </w:rPr>
      <w:t>0</w:t>
    </w:r>
    <w:r w:rsidR="00433389">
      <w:rPr>
        <w:rFonts w:ascii="Arial Narrow" w:hAnsi="Arial Narrow"/>
        <w:b/>
        <w:sz w:val="20"/>
        <w:szCs w:val="20"/>
      </w:rPr>
      <w:t>2</w:t>
    </w:r>
    <w:r w:rsidR="00B74E5B" w:rsidRPr="00ED0024">
      <w:rPr>
        <w:rFonts w:ascii="Arial Narrow" w:hAnsi="Arial Narrow"/>
        <w:b/>
        <w:sz w:val="20"/>
        <w:szCs w:val="20"/>
      </w:rPr>
      <w:t>/20</w:t>
    </w:r>
    <w:r>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3"/>
  </w:num>
  <w:num w:numId="5">
    <w:abstractNumId w:val="32"/>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1"/>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4"/>
  </w:num>
  <w:num w:numId="28">
    <w:abstractNumId w:val="27"/>
  </w:num>
  <w:num w:numId="29">
    <w:abstractNumId w:val="4"/>
  </w:num>
  <w:num w:numId="30">
    <w:abstractNumId w:val="7"/>
  </w:num>
  <w:num w:numId="31">
    <w:abstractNumId w:val="14"/>
  </w:num>
  <w:num w:numId="32">
    <w:abstractNumId w:val="35"/>
  </w:num>
  <w:num w:numId="33">
    <w:abstractNumId w:val="11"/>
  </w:num>
  <w:num w:numId="34">
    <w:abstractNumId w:val="21"/>
  </w:num>
  <w:num w:numId="35">
    <w:abstractNumId w:val="2"/>
  </w:num>
  <w:num w:numId="3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753"/>
    <w:rsid w:val="000622F0"/>
    <w:rsid w:val="000624CD"/>
    <w:rsid w:val="00062563"/>
    <w:rsid w:val="00062968"/>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51C"/>
    <w:rsid w:val="000837C1"/>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922"/>
    <w:rsid w:val="000869D9"/>
    <w:rsid w:val="0008747B"/>
    <w:rsid w:val="000874AA"/>
    <w:rsid w:val="00087619"/>
    <w:rsid w:val="00087DAB"/>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02"/>
    <w:rsid w:val="000B4A95"/>
    <w:rsid w:val="000B4D57"/>
    <w:rsid w:val="000B4ED6"/>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316E"/>
    <w:rsid w:val="001637FB"/>
    <w:rsid w:val="00163E12"/>
    <w:rsid w:val="0016470E"/>
    <w:rsid w:val="00164C7C"/>
    <w:rsid w:val="00165314"/>
    <w:rsid w:val="0016587A"/>
    <w:rsid w:val="001659ED"/>
    <w:rsid w:val="0016609E"/>
    <w:rsid w:val="0016692A"/>
    <w:rsid w:val="00166F3F"/>
    <w:rsid w:val="00166FCE"/>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77BB7"/>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219F"/>
    <w:rsid w:val="00212A15"/>
    <w:rsid w:val="00213037"/>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73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4ED3"/>
    <w:rsid w:val="002551AE"/>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19B"/>
    <w:rsid w:val="00271466"/>
    <w:rsid w:val="002726E2"/>
    <w:rsid w:val="00272742"/>
    <w:rsid w:val="00272D38"/>
    <w:rsid w:val="0027306C"/>
    <w:rsid w:val="00273417"/>
    <w:rsid w:val="00273D79"/>
    <w:rsid w:val="002748DC"/>
    <w:rsid w:val="00274D70"/>
    <w:rsid w:val="00275156"/>
    <w:rsid w:val="0027609A"/>
    <w:rsid w:val="0027638B"/>
    <w:rsid w:val="002772F2"/>
    <w:rsid w:val="0028021E"/>
    <w:rsid w:val="002807E5"/>
    <w:rsid w:val="00280888"/>
    <w:rsid w:val="00280A3D"/>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211"/>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93F"/>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89"/>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4CF"/>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0C8A"/>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BC"/>
    <w:rsid w:val="00476708"/>
    <w:rsid w:val="0047694C"/>
    <w:rsid w:val="0047708E"/>
    <w:rsid w:val="004777BB"/>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4020"/>
    <w:rsid w:val="004843A7"/>
    <w:rsid w:val="00484A3A"/>
    <w:rsid w:val="00485345"/>
    <w:rsid w:val="004855D5"/>
    <w:rsid w:val="00485858"/>
    <w:rsid w:val="00485973"/>
    <w:rsid w:val="00485C75"/>
    <w:rsid w:val="004862E3"/>
    <w:rsid w:val="00486398"/>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5A4"/>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F3"/>
    <w:rsid w:val="004F715B"/>
    <w:rsid w:val="004F7283"/>
    <w:rsid w:val="004F774A"/>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16C"/>
    <w:rsid w:val="00514266"/>
    <w:rsid w:val="00514470"/>
    <w:rsid w:val="005148B2"/>
    <w:rsid w:val="00514AF8"/>
    <w:rsid w:val="00514AFD"/>
    <w:rsid w:val="00514DD7"/>
    <w:rsid w:val="005151B2"/>
    <w:rsid w:val="005161B3"/>
    <w:rsid w:val="005161C5"/>
    <w:rsid w:val="00516946"/>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52F"/>
    <w:rsid w:val="00552714"/>
    <w:rsid w:val="00552CB2"/>
    <w:rsid w:val="005540FF"/>
    <w:rsid w:val="005545EA"/>
    <w:rsid w:val="005545F3"/>
    <w:rsid w:val="0055517D"/>
    <w:rsid w:val="00555881"/>
    <w:rsid w:val="005558BB"/>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103"/>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285"/>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0BC"/>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A0B"/>
    <w:rsid w:val="005C6E0D"/>
    <w:rsid w:val="005C6E31"/>
    <w:rsid w:val="005C6E3B"/>
    <w:rsid w:val="005C755A"/>
    <w:rsid w:val="005C7688"/>
    <w:rsid w:val="005D03E4"/>
    <w:rsid w:val="005D0C48"/>
    <w:rsid w:val="005D107A"/>
    <w:rsid w:val="005D16B3"/>
    <w:rsid w:val="005D1EA9"/>
    <w:rsid w:val="005D20F7"/>
    <w:rsid w:val="005D2125"/>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62E"/>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13C7"/>
    <w:rsid w:val="006F1728"/>
    <w:rsid w:val="006F1985"/>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12B9"/>
    <w:rsid w:val="007313D1"/>
    <w:rsid w:val="0073144E"/>
    <w:rsid w:val="00731459"/>
    <w:rsid w:val="00731708"/>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1C16"/>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6549"/>
    <w:rsid w:val="00786647"/>
    <w:rsid w:val="0078691D"/>
    <w:rsid w:val="00786DBD"/>
    <w:rsid w:val="007901A8"/>
    <w:rsid w:val="00790CE5"/>
    <w:rsid w:val="007918B5"/>
    <w:rsid w:val="0079217D"/>
    <w:rsid w:val="00792706"/>
    <w:rsid w:val="00792803"/>
    <w:rsid w:val="00792874"/>
    <w:rsid w:val="00792E1D"/>
    <w:rsid w:val="00792F8D"/>
    <w:rsid w:val="00793376"/>
    <w:rsid w:val="007933F4"/>
    <w:rsid w:val="00793466"/>
    <w:rsid w:val="00793683"/>
    <w:rsid w:val="0079371E"/>
    <w:rsid w:val="007937D9"/>
    <w:rsid w:val="00793857"/>
    <w:rsid w:val="00793A59"/>
    <w:rsid w:val="0079403B"/>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947"/>
    <w:rsid w:val="007C3EEE"/>
    <w:rsid w:val="007C476E"/>
    <w:rsid w:val="007C4BC6"/>
    <w:rsid w:val="007C4E9B"/>
    <w:rsid w:val="007C50F2"/>
    <w:rsid w:val="007C5B1C"/>
    <w:rsid w:val="007C5D74"/>
    <w:rsid w:val="007C5FA5"/>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945"/>
    <w:rsid w:val="007D5ACE"/>
    <w:rsid w:val="007D5F54"/>
    <w:rsid w:val="007D60A3"/>
    <w:rsid w:val="007D64E4"/>
    <w:rsid w:val="007D6B32"/>
    <w:rsid w:val="007D7153"/>
    <w:rsid w:val="007D719B"/>
    <w:rsid w:val="007D739A"/>
    <w:rsid w:val="007D7B3B"/>
    <w:rsid w:val="007D7BBF"/>
    <w:rsid w:val="007D7E21"/>
    <w:rsid w:val="007E068F"/>
    <w:rsid w:val="007E0821"/>
    <w:rsid w:val="007E09A9"/>
    <w:rsid w:val="007E1574"/>
    <w:rsid w:val="007E1879"/>
    <w:rsid w:val="007E1CA3"/>
    <w:rsid w:val="007E2409"/>
    <w:rsid w:val="007E24D6"/>
    <w:rsid w:val="007E2773"/>
    <w:rsid w:val="007E28F6"/>
    <w:rsid w:val="007E2E32"/>
    <w:rsid w:val="007E32DD"/>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98C"/>
    <w:rsid w:val="007F0D8D"/>
    <w:rsid w:val="007F0F1F"/>
    <w:rsid w:val="007F0F50"/>
    <w:rsid w:val="007F10FE"/>
    <w:rsid w:val="007F11BF"/>
    <w:rsid w:val="007F1319"/>
    <w:rsid w:val="007F14BD"/>
    <w:rsid w:val="007F1621"/>
    <w:rsid w:val="007F179D"/>
    <w:rsid w:val="007F1EBE"/>
    <w:rsid w:val="007F2002"/>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508"/>
    <w:rsid w:val="00861514"/>
    <w:rsid w:val="008615C2"/>
    <w:rsid w:val="00861774"/>
    <w:rsid w:val="00861AB7"/>
    <w:rsid w:val="00861B88"/>
    <w:rsid w:val="0086256E"/>
    <w:rsid w:val="008627FD"/>
    <w:rsid w:val="00862F13"/>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71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0AE"/>
    <w:rsid w:val="008F72DC"/>
    <w:rsid w:val="008F789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73A"/>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50FA"/>
    <w:rsid w:val="009A6BB7"/>
    <w:rsid w:val="009A6C0B"/>
    <w:rsid w:val="009A6CEA"/>
    <w:rsid w:val="009A7370"/>
    <w:rsid w:val="009A7B62"/>
    <w:rsid w:val="009B06B4"/>
    <w:rsid w:val="009B0C96"/>
    <w:rsid w:val="009B101E"/>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599"/>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2C3D"/>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2D98"/>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2B7"/>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DB4"/>
    <w:rsid w:val="00AD4EDD"/>
    <w:rsid w:val="00AD54F7"/>
    <w:rsid w:val="00AD69D2"/>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B94"/>
    <w:rsid w:val="00B070AC"/>
    <w:rsid w:val="00B07C2B"/>
    <w:rsid w:val="00B07CAA"/>
    <w:rsid w:val="00B07D7E"/>
    <w:rsid w:val="00B101BB"/>
    <w:rsid w:val="00B10889"/>
    <w:rsid w:val="00B10A9C"/>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70403"/>
    <w:rsid w:val="00B7049C"/>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DB4"/>
    <w:rsid w:val="00B8319A"/>
    <w:rsid w:val="00B83336"/>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E68"/>
    <w:rsid w:val="00BB435D"/>
    <w:rsid w:val="00BB466F"/>
    <w:rsid w:val="00BB4C04"/>
    <w:rsid w:val="00BB51E5"/>
    <w:rsid w:val="00BB545E"/>
    <w:rsid w:val="00BB6106"/>
    <w:rsid w:val="00BB6933"/>
    <w:rsid w:val="00BB6F57"/>
    <w:rsid w:val="00BB7689"/>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61DE"/>
    <w:rsid w:val="00BC6243"/>
    <w:rsid w:val="00BC659A"/>
    <w:rsid w:val="00BC6A69"/>
    <w:rsid w:val="00BC6A70"/>
    <w:rsid w:val="00BC6B28"/>
    <w:rsid w:val="00BC6DAC"/>
    <w:rsid w:val="00BC6FD6"/>
    <w:rsid w:val="00BC72C6"/>
    <w:rsid w:val="00BC7F84"/>
    <w:rsid w:val="00BD02E6"/>
    <w:rsid w:val="00BD0840"/>
    <w:rsid w:val="00BD0971"/>
    <w:rsid w:val="00BD137E"/>
    <w:rsid w:val="00BD1B82"/>
    <w:rsid w:val="00BD1E2B"/>
    <w:rsid w:val="00BD2415"/>
    <w:rsid w:val="00BD25A5"/>
    <w:rsid w:val="00BD2614"/>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583"/>
    <w:rsid w:val="00C0288C"/>
    <w:rsid w:val="00C02DD1"/>
    <w:rsid w:val="00C030DA"/>
    <w:rsid w:val="00C0311E"/>
    <w:rsid w:val="00C03194"/>
    <w:rsid w:val="00C035D0"/>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50B0"/>
    <w:rsid w:val="00C3628A"/>
    <w:rsid w:val="00C365ED"/>
    <w:rsid w:val="00C36613"/>
    <w:rsid w:val="00C36A98"/>
    <w:rsid w:val="00C36AD0"/>
    <w:rsid w:val="00C3726F"/>
    <w:rsid w:val="00C37529"/>
    <w:rsid w:val="00C3762A"/>
    <w:rsid w:val="00C37AFD"/>
    <w:rsid w:val="00C37BEC"/>
    <w:rsid w:val="00C401CD"/>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17D4"/>
    <w:rsid w:val="00C7187B"/>
    <w:rsid w:val="00C72989"/>
    <w:rsid w:val="00C729E6"/>
    <w:rsid w:val="00C73CD3"/>
    <w:rsid w:val="00C73E13"/>
    <w:rsid w:val="00C74968"/>
    <w:rsid w:val="00C7572D"/>
    <w:rsid w:val="00C75937"/>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02C"/>
    <w:rsid w:val="00C9214F"/>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D07"/>
    <w:rsid w:val="00CB2D15"/>
    <w:rsid w:val="00CB363B"/>
    <w:rsid w:val="00CB3681"/>
    <w:rsid w:val="00CB41AC"/>
    <w:rsid w:val="00CB4200"/>
    <w:rsid w:val="00CB428C"/>
    <w:rsid w:val="00CB4481"/>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1ABC"/>
    <w:rsid w:val="00CD237F"/>
    <w:rsid w:val="00CD2A41"/>
    <w:rsid w:val="00CD2DB6"/>
    <w:rsid w:val="00CD2DEC"/>
    <w:rsid w:val="00CD312A"/>
    <w:rsid w:val="00CD4959"/>
    <w:rsid w:val="00CD49B2"/>
    <w:rsid w:val="00CD4A35"/>
    <w:rsid w:val="00CD4E4D"/>
    <w:rsid w:val="00CD53FE"/>
    <w:rsid w:val="00CD549A"/>
    <w:rsid w:val="00CD55ED"/>
    <w:rsid w:val="00CD569E"/>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4DE"/>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325"/>
    <w:rsid w:val="00D37EFD"/>
    <w:rsid w:val="00D403D1"/>
    <w:rsid w:val="00D407B0"/>
    <w:rsid w:val="00D40BB9"/>
    <w:rsid w:val="00D40EB0"/>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85"/>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DB"/>
    <w:rsid w:val="00D86ADD"/>
    <w:rsid w:val="00D86E7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5E56"/>
    <w:rsid w:val="00DD634F"/>
    <w:rsid w:val="00DD6CBC"/>
    <w:rsid w:val="00DD74B8"/>
    <w:rsid w:val="00DE00AE"/>
    <w:rsid w:val="00DE068D"/>
    <w:rsid w:val="00DE068F"/>
    <w:rsid w:val="00DE09BD"/>
    <w:rsid w:val="00DE127F"/>
    <w:rsid w:val="00DE1395"/>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6D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AB1"/>
    <w:rsid w:val="00E54AD9"/>
    <w:rsid w:val="00E54CAA"/>
    <w:rsid w:val="00E54FFA"/>
    <w:rsid w:val="00E55440"/>
    <w:rsid w:val="00E55499"/>
    <w:rsid w:val="00E555C3"/>
    <w:rsid w:val="00E559B6"/>
    <w:rsid w:val="00E55B93"/>
    <w:rsid w:val="00E5629D"/>
    <w:rsid w:val="00E56414"/>
    <w:rsid w:val="00E5645D"/>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002"/>
    <w:rsid w:val="00EA35BC"/>
    <w:rsid w:val="00EA3807"/>
    <w:rsid w:val="00EA3B6F"/>
    <w:rsid w:val="00EA4619"/>
    <w:rsid w:val="00EA46FA"/>
    <w:rsid w:val="00EA4A8B"/>
    <w:rsid w:val="00EA4DC6"/>
    <w:rsid w:val="00EA4EC2"/>
    <w:rsid w:val="00EA553E"/>
    <w:rsid w:val="00EA591A"/>
    <w:rsid w:val="00EA6184"/>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58"/>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30A"/>
    <w:rsid w:val="00F27634"/>
    <w:rsid w:val="00F27952"/>
    <w:rsid w:val="00F27AD8"/>
    <w:rsid w:val="00F30042"/>
    <w:rsid w:val="00F3040C"/>
    <w:rsid w:val="00F31244"/>
    <w:rsid w:val="00F31263"/>
    <w:rsid w:val="00F314F7"/>
    <w:rsid w:val="00F31A83"/>
    <w:rsid w:val="00F31C46"/>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E35"/>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3A20"/>
    <w:rsid w:val="00F73CEA"/>
    <w:rsid w:val="00F749C9"/>
    <w:rsid w:val="00F752E2"/>
    <w:rsid w:val="00F75528"/>
    <w:rsid w:val="00F756D3"/>
    <w:rsid w:val="00F7615D"/>
    <w:rsid w:val="00F76C92"/>
    <w:rsid w:val="00F77347"/>
    <w:rsid w:val="00F77399"/>
    <w:rsid w:val="00F7777E"/>
    <w:rsid w:val="00F7784C"/>
    <w:rsid w:val="00F77921"/>
    <w:rsid w:val="00F80B8B"/>
    <w:rsid w:val="00F8166C"/>
    <w:rsid w:val="00F81F1E"/>
    <w:rsid w:val="00F8213B"/>
    <w:rsid w:val="00F82B7E"/>
    <w:rsid w:val="00F82DEB"/>
    <w:rsid w:val="00F82E98"/>
    <w:rsid w:val="00F82EBF"/>
    <w:rsid w:val="00F835F6"/>
    <w:rsid w:val="00F8366B"/>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BEF"/>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A7D15"/>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2F4"/>
    <w:rsid w:val="00FD1DA1"/>
    <w:rsid w:val="00FD20E9"/>
    <w:rsid w:val="00FD30C8"/>
    <w:rsid w:val="00FD37D4"/>
    <w:rsid w:val="00FD37FE"/>
    <w:rsid w:val="00FD3F51"/>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4087"/>
    <w:rsid w:val="00FE421B"/>
    <w:rsid w:val="00FE4A11"/>
    <w:rsid w:val="00FE5328"/>
    <w:rsid w:val="00FE5E7C"/>
    <w:rsid w:val="00FE64B6"/>
    <w:rsid w:val="00FE6D4D"/>
    <w:rsid w:val="00FE7331"/>
    <w:rsid w:val="00FE761C"/>
    <w:rsid w:val="00FE7B57"/>
    <w:rsid w:val="00FE7F30"/>
    <w:rsid w:val="00FF03A4"/>
    <w:rsid w:val="00FF07D5"/>
    <w:rsid w:val="00FF08A1"/>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20CB9-14E4-4FA0-8980-9B31ABF3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173</cp:revision>
  <cp:lastPrinted>2017-03-23T00:31:00Z</cp:lastPrinted>
  <dcterms:created xsi:type="dcterms:W3CDTF">2019-10-09T20:47:00Z</dcterms:created>
  <dcterms:modified xsi:type="dcterms:W3CDTF">2020-02-11T02:39:00Z</dcterms:modified>
</cp:coreProperties>
</file>