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19" w:rsidRPr="00E60039" w:rsidRDefault="00E60039" w:rsidP="009B5619">
      <w:pPr>
        <w:jc w:val="center"/>
        <w:rPr>
          <w:rFonts w:ascii="Arial" w:hAnsi="Arial" w:cs="Arial"/>
          <w:lang w:eastAsia="es-MX"/>
        </w:rPr>
      </w:pPr>
      <w:r w:rsidRPr="00E60039">
        <w:rPr>
          <w:rFonts w:ascii="Arial" w:hAnsi="Arial" w:cs="Arial"/>
          <w:lang w:eastAsia="es-MX"/>
        </w:rPr>
        <w:t>Había clasificado la información como reservada</w:t>
      </w:r>
    </w:p>
    <w:p w:rsidR="009B5619" w:rsidRPr="00E60039" w:rsidRDefault="009B5619" w:rsidP="0055252F">
      <w:pPr>
        <w:jc w:val="center"/>
        <w:rPr>
          <w:rFonts w:ascii="Arial" w:hAnsi="Arial" w:cs="Arial"/>
          <w:b/>
          <w:sz w:val="28"/>
          <w:szCs w:val="28"/>
          <w:lang w:eastAsia="es-MX"/>
        </w:rPr>
      </w:pPr>
    </w:p>
    <w:p w:rsidR="00E60039" w:rsidRPr="00E60039" w:rsidRDefault="00E60039" w:rsidP="00E60039">
      <w:pPr>
        <w:jc w:val="center"/>
        <w:rPr>
          <w:rFonts w:ascii="Arial" w:hAnsi="Arial" w:cs="Arial"/>
          <w:b/>
          <w:sz w:val="28"/>
          <w:szCs w:val="28"/>
          <w:lang w:eastAsia="es-MX"/>
        </w:rPr>
      </w:pPr>
      <w:r w:rsidRPr="00E60039">
        <w:rPr>
          <w:rFonts w:ascii="Arial" w:hAnsi="Arial" w:cs="Arial"/>
          <w:b/>
          <w:sz w:val="28"/>
          <w:szCs w:val="28"/>
          <w:lang w:eastAsia="es-MX"/>
        </w:rPr>
        <w:t xml:space="preserve">FGE debe dar acceso a expediente sobre </w:t>
      </w:r>
    </w:p>
    <w:p w:rsidR="00E60039" w:rsidRPr="00E60039" w:rsidRDefault="00E60039" w:rsidP="00E60039">
      <w:pPr>
        <w:jc w:val="center"/>
        <w:rPr>
          <w:rFonts w:ascii="Arial" w:hAnsi="Arial" w:cs="Arial"/>
          <w:b/>
          <w:sz w:val="28"/>
          <w:szCs w:val="28"/>
          <w:lang w:eastAsia="es-MX"/>
        </w:rPr>
      </w:pPr>
      <w:r w:rsidRPr="00E60039">
        <w:rPr>
          <w:rFonts w:ascii="Arial" w:hAnsi="Arial" w:cs="Arial"/>
          <w:b/>
          <w:sz w:val="28"/>
          <w:szCs w:val="28"/>
          <w:lang w:eastAsia="es-MX"/>
        </w:rPr>
        <w:t xml:space="preserve">desaparición forzada de </w:t>
      </w:r>
      <w:r w:rsidRPr="00E60039">
        <w:rPr>
          <w:rFonts w:ascii="Arial" w:hAnsi="Arial" w:cs="Arial"/>
          <w:b/>
          <w:sz w:val="28"/>
          <w:szCs w:val="28"/>
          <w:lang w:eastAsia="es-MX"/>
        </w:rPr>
        <w:t>3</w:t>
      </w:r>
      <w:r w:rsidRPr="00E60039">
        <w:rPr>
          <w:rFonts w:ascii="Arial" w:hAnsi="Arial" w:cs="Arial"/>
          <w:b/>
          <w:sz w:val="28"/>
          <w:szCs w:val="28"/>
          <w:lang w:eastAsia="es-MX"/>
        </w:rPr>
        <w:t xml:space="preserve"> jóvenes en Tuxpan </w:t>
      </w:r>
    </w:p>
    <w:p w:rsidR="00F6266B" w:rsidRPr="00E60039" w:rsidRDefault="00F6266B" w:rsidP="0055252F">
      <w:pPr>
        <w:jc w:val="center"/>
        <w:rPr>
          <w:rFonts w:ascii="Arial" w:hAnsi="Arial" w:cs="Arial"/>
          <w:b/>
          <w:sz w:val="28"/>
          <w:szCs w:val="28"/>
          <w:lang w:eastAsia="es-MX"/>
        </w:rPr>
      </w:pPr>
    </w:p>
    <w:p w:rsidR="003D1861" w:rsidRDefault="00E60039" w:rsidP="00E60039">
      <w:pPr>
        <w:pStyle w:val="Prrafodelista"/>
        <w:numPr>
          <w:ilvl w:val="0"/>
          <w:numId w:val="36"/>
        </w:numPr>
        <w:ind w:left="284" w:hanging="207"/>
        <w:rPr>
          <w:rFonts w:ascii="Arial" w:hAnsi="Arial" w:cs="Arial"/>
          <w:sz w:val="20"/>
          <w:szCs w:val="20"/>
          <w:lang w:eastAsia="es-MX"/>
        </w:rPr>
      </w:pPr>
      <w:r w:rsidRPr="00E60039">
        <w:rPr>
          <w:rFonts w:ascii="Arial" w:hAnsi="Arial" w:cs="Arial"/>
          <w:sz w:val="20"/>
          <w:szCs w:val="20"/>
          <w:lang w:eastAsia="es-MX"/>
        </w:rPr>
        <w:t>Violaciones graves a derechos humanos ofenden a toda la sociedad: IVAI</w:t>
      </w:r>
    </w:p>
    <w:p w:rsidR="00E60039" w:rsidRPr="00B36167" w:rsidRDefault="00B36167" w:rsidP="007F65E3">
      <w:pPr>
        <w:pStyle w:val="Prrafodelista"/>
        <w:numPr>
          <w:ilvl w:val="0"/>
          <w:numId w:val="36"/>
        </w:numPr>
        <w:ind w:left="284" w:hanging="207"/>
        <w:rPr>
          <w:rFonts w:ascii="Arial" w:hAnsi="Arial" w:cs="Arial"/>
          <w:sz w:val="20"/>
          <w:szCs w:val="20"/>
          <w:lang w:eastAsia="es-MX"/>
        </w:rPr>
      </w:pPr>
      <w:r w:rsidRPr="00B36167">
        <w:rPr>
          <w:rFonts w:ascii="Arial" w:hAnsi="Arial" w:cs="Arial"/>
          <w:sz w:val="20"/>
          <w:szCs w:val="20"/>
          <w:lang w:eastAsia="es-MX"/>
        </w:rPr>
        <w:t xml:space="preserve">Por su gravedad y repercusiones, existe interés especial de ciudadanos en conocer a detalle acciones y resultados de </w:t>
      </w:r>
      <w:r>
        <w:rPr>
          <w:rFonts w:ascii="Arial" w:hAnsi="Arial" w:cs="Arial"/>
          <w:sz w:val="20"/>
          <w:szCs w:val="20"/>
          <w:lang w:eastAsia="es-MX"/>
        </w:rPr>
        <w:t>a</w:t>
      </w:r>
      <w:r w:rsidRPr="00B36167">
        <w:rPr>
          <w:rFonts w:ascii="Arial" w:hAnsi="Arial" w:cs="Arial"/>
          <w:sz w:val="20"/>
          <w:szCs w:val="20"/>
          <w:lang w:eastAsia="es-MX"/>
        </w:rPr>
        <w:t xml:space="preserve">utoridades </w:t>
      </w:r>
    </w:p>
    <w:p w:rsidR="00E60039" w:rsidRPr="00E60039" w:rsidRDefault="00E60039" w:rsidP="00E60039">
      <w:pPr>
        <w:pStyle w:val="Prrafodelista"/>
        <w:ind w:left="284"/>
        <w:rPr>
          <w:rFonts w:ascii="Arial" w:hAnsi="Arial" w:cs="Arial"/>
          <w:sz w:val="20"/>
          <w:szCs w:val="20"/>
          <w:lang w:eastAsia="es-MX"/>
        </w:rPr>
      </w:pPr>
    </w:p>
    <w:p w:rsidR="003C62D0" w:rsidRDefault="00CA6FA5" w:rsidP="00E60039">
      <w:pPr>
        <w:rPr>
          <w:rFonts w:ascii="Arial" w:hAnsi="Arial" w:cs="Arial"/>
          <w:lang w:eastAsia="es-MX"/>
        </w:rPr>
      </w:pPr>
      <w:r w:rsidRPr="00E60039">
        <w:rPr>
          <w:rFonts w:ascii="Arial" w:hAnsi="Arial" w:cs="Arial"/>
          <w:lang w:eastAsia="es-MX"/>
        </w:rPr>
        <w:t>Xalapa</w:t>
      </w:r>
      <w:r w:rsidR="006F1728" w:rsidRPr="00E60039">
        <w:rPr>
          <w:rFonts w:ascii="Arial" w:hAnsi="Arial" w:cs="Arial"/>
          <w:lang w:eastAsia="es-MX"/>
        </w:rPr>
        <w:t xml:space="preserve">, Ver., </w:t>
      </w:r>
      <w:r w:rsidR="004F4816" w:rsidRPr="00E60039">
        <w:rPr>
          <w:rFonts w:ascii="Arial" w:hAnsi="Arial" w:cs="Arial"/>
          <w:lang w:eastAsia="es-MX"/>
        </w:rPr>
        <w:t>20</w:t>
      </w:r>
      <w:r w:rsidR="005B4FC9" w:rsidRPr="00E60039">
        <w:rPr>
          <w:rFonts w:ascii="Arial" w:hAnsi="Arial" w:cs="Arial"/>
          <w:lang w:eastAsia="es-MX"/>
        </w:rPr>
        <w:t xml:space="preserve"> </w:t>
      </w:r>
      <w:r w:rsidR="006F1728" w:rsidRPr="00E60039">
        <w:rPr>
          <w:rFonts w:ascii="Arial" w:hAnsi="Arial" w:cs="Arial"/>
          <w:lang w:eastAsia="es-MX"/>
        </w:rPr>
        <w:t xml:space="preserve">de </w:t>
      </w:r>
      <w:r w:rsidR="004F4816" w:rsidRPr="00E60039">
        <w:rPr>
          <w:rFonts w:ascii="Arial" w:hAnsi="Arial" w:cs="Arial"/>
          <w:lang w:eastAsia="es-MX"/>
        </w:rPr>
        <w:t>noviem</w:t>
      </w:r>
      <w:r w:rsidR="008079F1" w:rsidRPr="00E60039">
        <w:rPr>
          <w:rFonts w:ascii="Arial" w:hAnsi="Arial" w:cs="Arial"/>
          <w:lang w:eastAsia="es-MX"/>
        </w:rPr>
        <w:t xml:space="preserve">bre </w:t>
      </w:r>
      <w:r w:rsidR="006F1728" w:rsidRPr="00E60039">
        <w:rPr>
          <w:rFonts w:ascii="Arial" w:hAnsi="Arial" w:cs="Arial"/>
          <w:lang w:eastAsia="es-MX"/>
        </w:rPr>
        <w:t>de 201</w:t>
      </w:r>
      <w:r w:rsidR="00F119CB" w:rsidRPr="00E60039">
        <w:rPr>
          <w:rFonts w:ascii="Arial" w:hAnsi="Arial" w:cs="Arial"/>
          <w:lang w:eastAsia="es-MX"/>
        </w:rPr>
        <w:t>9</w:t>
      </w:r>
      <w:r w:rsidR="006F1728" w:rsidRPr="00E60039">
        <w:rPr>
          <w:rFonts w:ascii="Arial" w:hAnsi="Arial" w:cs="Arial"/>
          <w:lang w:eastAsia="es-MX"/>
        </w:rPr>
        <w:t xml:space="preserve">.- </w:t>
      </w:r>
      <w:r w:rsidR="00E60039" w:rsidRPr="00E60039">
        <w:rPr>
          <w:rFonts w:ascii="Arial" w:hAnsi="Arial" w:cs="Arial"/>
          <w:lang w:eastAsia="es-MX"/>
        </w:rPr>
        <w:t>Al resolver el recurso de revisión IVAI-REV/2886/2018/II</w:t>
      </w:r>
      <w:r w:rsidR="00E60039">
        <w:rPr>
          <w:rFonts w:ascii="Arial" w:hAnsi="Arial" w:cs="Arial"/>
          <w:lang w:eastAsia="es-MX"/>
        </w:rPr>
        <w:t xml:space="preserve">, el Instituto Veracruzano de Acceso a la Información y Protección de Datos Personales (IVAI) revocó el acuerdo de clasificación que realizó la </w:t>
      </w:r>
      <w:r w:rsidR="00E60039" w:rsidRPr="00F97C13">
        <w:rPr>
          <w:rFonts w:ascii="Arial" w:hAnsi="Arial" w:cs="Arial"/>
          <w:lang w:eastAsia="es-MX"/>
        </w:rPr>
        <w:t>Fiscalía General del Estado</w:t>
      </w:r>
      <w:r w:rsidR="00E60039">
        <w:rPr>
          <w:rFonts w:ascii="Arial" w:hAnsi="Arial" w:cs="Arial"/>
          <w:lang w:eastAsia="es-MX"/>
        </w:rPr>
        <w:t xml:space="preserve"> (FGE)</w:t>
      </w:r>
      <w:r w:rsidR="00E60039" w:rsidRPr="00F97C13">
        <w:rPr>
          <w:rFonts w:ascii="Arial" w:hAnsi="Arial" w:cs="Arial"/>
          <w:lang w:eastAsia="es-MX"/>
        </w:rPr>
        <w:t xml:space="preserve"> de Veracruz</w:t>
      </w:r>
      <w:r w:rsidR="00E60039">
        <w:rPr>
          <w:rFonts w:ascii="Arial" w:hAnsi="Arial" w:cs="Arial"/>
          <w:lang w:eastAsia="es-MX"/>
        </w:rPr>
        <w:t xml:space="preserve"> </w:t>
      </w:r>
      <w:r w:rsidR="00E60039">
        <w:rPr>
          <w:rFonts w:ascii="Arial" w:hAnsi="Arial" w:cs="Arial"/>
          <w:lang w:eastAsia="es-MX"/>
        </w:rPr>
        <w:t xml:space="preserve">a raíz de una solicitud para conocer </w:t>
      </w:r>
      <w:r w:rsidR="003C62D0">
        <w:rPr>
          <w:rFonts w:ascii="Arial" w:hAnsi="Arial" w:cs="Arial"/>
          <w:lang w:eastAsia="es-MX"/>
        </w:rPr>
        <w:t xml:space="preserve">información relacionada con </w:t>
      </w:r>
      <w:r w:rsidR="00EE1E5C" w:rsidRPr="00EE1E5C">
        <w:rPr>
          <w:rFonts w:ascii="Arial" w:hAnsi="Arial" w:cs="Arial"/>
          <w:lang w:eastAsia="es-MX"/>
        </w:rPr>
        <w:t xml:space="preserve">la detención arbitraria y desaparición forzada de tres jóvenes </w:t>
      </w:r>
      <w:r w:rsidR="00EE1E5C">
        <w:rPr>
          <w:rFonts w:ascii="Arial" w:hAnsi="Arial" w:cs="Arial"/>
          <w:lang w:eastAsia="es-MX"/>
        </w:rPr>
        <w:t xml:space="preserve">y </w:t>
      </w:r>
      <w:r w:rsidR="00EE1E5C" w:rsidRPr="00EE1E5C">
        <w:rPr>
          <w:rFonts w:ascii="Arial" w:hAnsi="Arial" w:cs="Arial"/>
          <w:lang w:eastAsia="es-MX"/>
        </w:rPr>
        <w:t>la retención ilegal de un menor de edad, el 19 de marzo de 2016</w:t>
      </w:r>
      <w:r w:rsidR="00EE1E5C">
        <w:rPr>
          <w:rFonts w:ascii="Arial" w:hAnsi="Arial" w:cs="Arial"/>
          <w:lang w:eastAsia="es-MX"/>
        </w:rPr>
        <w:t xml:space="preserve"> en Tuxpan</w:t>
      </w:r>
      <w:r w:rsidR="005560D6">
        <w:rPr>
          <w:rFonts w:ascii="Arial" w:hAnsi="Arial" w:cs="Arial"/>
          <w:lang w:eastAsia="es-MX"/>
        </w:rPr>
        <w:t>.</w:t>
      </w:r>
    </w:p>
    <w:p w:rsidR="005560D6" w:rsidRDefault="005560D6" w:rsidP="00E60039">
      <w:pPr>
        <w:rPr>
          <w:rFonts w:ascii="Arial" w:hAnsi="Arial" w:cs="Arial"/>
          <w:lang w:eastAsia="es-MX"/>
        </w:rPr>
      </w:pPr>
    </w:p>
    <w:p w:rsidR="00440881" w:rsidRDefault="009B23F8" w:rsidP="005560D6">
      <w:pPr>
        <w:rPr>
          <w:rFonts w:ascii="Arial" w:hAnsi="Arial" w:cs="Arial"/>
          <w:lang w:eastAsia="es-MX"/>
        </w:rPr>
      </w:pPr>
      <w:r>
        <w:rPr>
          <w:rFonts w:ascii="Arial" w:hAnsi="Arial" w:cs="Arial"/>
          <w:lang w:eastAsia="es-MX"/>
        </w:rPr>
        <w:t xml:space="preserve">Al dar respuesta, la Fiscalía envió </w:t>
      </w:r>
      <w:r w:rsidRPr="009B23F8">
        <w:rPr>
          <w:rFonts w:ascii="Arial" w:hAnsi="Arial" w:cs="Arial"/>
          <w:lang w:eastAsia="es-MX"/>
        </w:rPr>
        <w:t xml:space="preserve">el acta ACT/CT-FGE/SE-56/11/09/2018 </w:t>
      </w:r>
      <w:r>
        <w:rPr>
          <w:rFonts w:ascii="Arial" w:hAnsi="Arial" w:cs="Arial"/>
          <w:lang w:eastAsia="es-MX"/>
        </w:rPr>
        <w:t xml:space="preserve">por la que el </w:t>
      </w:r>
      <w:r w:rsidRPr="009B23F8">
        <w:rPr>
          <w:rFonts w:ascii="Arial" w:hAnsi="Arial" w:cs="Arial"/>
          <w:lang w:eastAsia="es-MX"/>
        </w:rPr>
        <w:t xml:space="preserve">Comité de Transparencia </w:t>
      </w:r>
      <w:r w:rsidR="00EE74C4">
        <w:rPr>
          <w:rFonts w:ascii="Arial" w:hAnsi="Arial" w:cs="Arial"/>
          <w:lang w:eastAsia="es-MX"/>
        </w:rPr>
        <w:t>clasificó</w:t>
      </w:r>
      <w:r w:rsidR="006B442D">
        <w:rPr>
          <w:rFonts w:ascii="Arial" w:hAnsi="Arial" w:cs="Arial"/>
          <w:lang w:eastAsia="es-MX"/>
        </w:rPr>
        <w:t xml:space="preserve"> </w:t>
      </w:r>
      <w:r w:rsidR="006B442D" w:rsidRPr="006B442D">
        <w:rPr>
          <w:rFonts w:ascii="Arial" w:hAnsi="Arial" w:cs="Arial"/>
          <w:lang w:eastAsia="es-MX"/>
        </w:rPr>
        <w:t>como reservada</w:t>
      </w:r>
      <w:r w:rsidR="00EE74C4">
        <w:rPr>
          <w:rFonts w:ascii="Arial" w:hAnsi="Arial" w:cs="Arial"/>
          <w:lang w:eastAsia="es-MX"/>
        </w:rPr>
        <w:t xml:space="preserve"> </w:t>
      </w:r>
      <w:r w:rsidR="00EE74C4" w:rsidRPr="00EE74C4">
        <w:rPr>
          <w:rFonts w:ascii="Arial" w:hAnsi="Arial" w:cs="Arial"/>
          <w:lang w:eastAsia="es-MX"/>
        </w:rPr>
        <w:t>la información contenida en la carpeta</w:t>
      </w:r>
      <w:r w:rsidR="005560D6">
        <w:rPr>
          <w:rFonts w:ascii="Arial" w:hAnsi="Arial" w:cs="Arial"/>
          <w:lang w:eastAsia="es-MX"/>
        </w:rPr>
        <w:t xml:space="preserve"> de investigación</w:t>
      </w:r>
      <w:r w:rsidR="00EE74C4" w:rsidRPr="00EE74C4">
        <w:rPr>
          <w:rFonts w:ascii="Arial" w:hAnsi="Arial" w:cs="Arial"/>
          <w:lang w:eastAsia="es-MX"/>
        </w:rPr>
        <w:t xml:space="preserve"> FEADPDIZN-PZR/065/2017</w:t>
      </w:r>
      <w:r w:rsidR="005560D6">
        <w:rPr>
          <w:rFonts w:ascii="Arial" w:hAnsi="Arial" w:cs="Arial"/>
          <w:lang w:eastAsia="es-MX"/>
        </w:rPr>
        <w:t xml:space="preserve"> </w:t>
      </w:r>
      <w:r w:rsidR="00D66A9A">
        <w:rPr>
          <w:rFonts w:ascii="Arial" w:hAnsi="Arial" w:cs="Arial"/>
          <w:lang w:eastAsia="es-MX"/>
        </w:rPr>
        <w:t xml:space="preserve">generada </w:t>
      </w:r>
      <w:r w:rsidR="005560D6" w:rsidRPr="00EE74C4">
        <w:rPr>
          <w:rFonts w:ascii="Arial" w:hAnsi="Arial" w:cs="Arial"/>
          <w:lang w:eastAsia="es-MX"/>
        </w:rPr>
        <w:t>por la detención arbitraria atribuible a elementos de la policía municipal</w:t>
      </w:r>
      <w:r w:rsidR="005560D6">
        <w:rPr>
          <w:rFonts w:ascii="Arial" w:hAnsi="Arial" w:cs="Arial"/>
          <w:lang w:eastAsia="es-MX"/>
        </w:rPr>
        <w:t xml:space="preserve"> </w:t>
      </w:r>
      <w:r w:rsidR="005560D6" w:rsidRPr="009B23F8">
        <w:rPr>
          <w:rFonts w:ascii="Arial" w:hAnsi="Arial" w:cs="Arial"/>
          <w:lang w:eastAsia="es-MX"/>
        </w:rPr>
        <w:t>de Papantla</w:t>
      </w:r>
      <w:r w:rsidR="005560D6">
        <w:rPr>
          <w:rFonts w:ascii="Arial" w:hAnsi="Arial" w:cs="Arial"/>
          <w:lang w:eastAsia="es-MX"/>
        </w:rPr>
        <w:t xml:space="preserve">, </w:t>
      </w:r>
      <w:r w:rsidR="000D490E">
        <w:rPr>
          <w:rFonts w:ascii="Arial" w:hAnsi="Arial" w:cs="Arial"/>
          <w:lang w:eastAsia="es-MX"/>
        </w:rPr>
        <w:t>por</w:t>
      </w:r>
      <w:r w:rsidR="00440881" w:rsidRPr="00440881">
        <w:rPr>
          <w:rFonts w:ascii="Arial" w:hAnsi="Arial" w:cs="Arial"/>
          <w:lang w:eastAsia="es-MX"/>
        </w:rPr>
        <w:t xml:space="preserve"> </w:t>
      </w:r>
      <w:r w:rsidR="008E7424">
        <w:rPr>
          <w:rFonts w:ascii="Arial" w:hAnsi="Arial" w:cs="Arial"/>
          <w:lang w:eastAsia="es-MX"/>
        </w:rPr>
        <w:t xml:space="preserve">considerar que </w:t>
      </w:r>
      <w:r w:rsidR="00B36167">
        <w:rPr>
          <w:rFonts w:ascii="Arial" w:hAnsi="Arial" w:cs="Arial"/>
          <w:lang w:eastAsia="es-MX"/>
        </w:rPr>
        <w:t>se</w:t>
      </w:r>
      <w:r w:rsidR="008E7424">
        <w:rPr>
          <w:rFonts w:ascii="Arial" w:hAnsi="Arial" w:cs="Arial"/>
          <w:lang w:eastAsia="es-MX"/>
        </w:rPr>
        <w:t xml:space="preserve"> podría vulnerar el procedimiento ya que se encuentra </w:t>
      </w:r>
      <w:r w:rsidR="00D66A9A">
        <w:rPr>
          <w:rFonts w:ascii="Arial" w:hAnsi="Arial" w:cs="Arial"/>
          <w:lang w:eastAsia="es-MX"/>
        </w:rPr>
        <w:t xml:space="preserve">pendiente de </w:t>
      </w:r>
      <w:r w:rsidR="00440881" w:rsidRPr="00440881">
        <w:rPr>
          <w:rFonts w:ascii="Arial" w:hAnsi="Arial" w:cs="Arial"/>
          <w:lang w:eastAsia="es-MX"/>
        </w:rPr>
        <w:t>resolución el recurso de apelación interpuesto por los sentenciado</w:t>
      </w:r>
      <w:r w:rsidR="008E7424">
        <w:rPr>
          <w:rFonts w:ascii="Arial" w:hAnsi="Arial" w:cs="Arial"/>
          <w:lang w:eastAsia="es-MX"/>
        </w:rPr>
        <w:t>s</w:t>
      </w:r>
      <w:r w:rsidR="00440881" w:rsidRPr="00440881">
        <w:rPr>
          <w:rFonts w:ascii="Arial" w:hAnsi="Arial" w:cs="Arial"/>
          <w:lang w:eastAsia="es-MX"/>
        </w:rPr>
        <w:t>.</w:t>
      </w:r>
    </w:p>
    <w:p w:rsidR="00440881" w:rsidRDefault="00440881" w:rsidP="005560D6">
      <w:pPr>
        <w:rPr>
          <w:rFonts w:ascii="Arial" w:hAnsi="Arial" w:cs="Arial"/>
          <w:lang w:eastAsia="es-MX"/>
        </w:rPr>
      </w:pPr>
    </w:p>
    <w:p w:rsidR="00440881" w:rsidRDefault="000D490E" w:rsidP="005560D6">
      <w:pPr>
        <w:rPr>
          <w:rFonts w:ascii="Arial" w:hAnsi="Arial" w:cs="Arial"/>
          <w:lang w:eastAsia="es-MX"/>
        </w:rPr>
      </w:pPr>
      <w:r>
        <w:rPr>
          <w:rFonts w:ascii="Arial" w:hAnsi="Arial" w:cs="Arial"/>
          <w:lang w:eastAsia="es-MX"/>
        </w:rPr>
        <w:t xml:space="preserve">Sin embargo, los comisionados José Rubén Mendoza Hernández,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y Arturo Mariscal Rodríguez </w:t>
      </w:r>
      <w:r w:rsidR="007F2002">
        <w:rPr>
          <w:rFonts w:ascii="Arial" w:hAnsi="Arial" w:cs="Arial"/>
          <w:lang w:eastAsia="es-MX"/>
        </w:rPr>
        <w:t xml:space="preserve">destacaron </w:t>
      </w:r>
      <w:r w:rsidR="005C6A0B">
        <w:rPr>
          <w:rFonts w:ascii="Arial" w:hAnsi="Arial" w:cs="Arial"/>
          <w:lang w:eastAsia="es-MX"/>
        </w:rPr>
        <w:t>que,</w:t>
      </w:r>
      <w:r w:rsidR="007F2002">
        <w:rPr>
          <w:rFonts w:ascii="Arial" w:hAnsi="Arial" w:cs="Arial"/>
          <w:lang w:eastAsia="es-MX"/>
        </w:rPr>
        <w:t xml:space="preserve"> </w:t>
      </w:r>
      <w:r w:rsidR="007F2002" w:rsidRPr="007F2002">
        <w:rPr>
          <w:rFonts w:ascii="Arial" w:hAnsi="Arial" w:cs="Arial"/>
          <w:lang w:eastAsia="es-MX"/>
        </w:rPr>
        <w:t>tratándose de investigaciones relacionadas con violaciones graves a los derechos humanos y delitos de lesa humanidad, debe prevalecer el principio de máxima publicidad de la información</w:t>
      </w:r>
      <w:r w:rsidR="005C6A0B">
        <w:rPr>
          <w:rFonts w:ascii="Arial" w:hAnsi="Arial" w:cs="Arial"/>
          <w:lang w:eastAsia="es-MX"/>
        </w:rPr>
        <w:t xml:space="preserve">, como lo señala la Ley General de Transparencia y la Ley </w:t>
      </w:r>
      <w:r w:rsidR="005C6A0B" w:rsidRPr="005C6A0B">
        <w:rPr>
          <w:rFonts w:ascii="Arial" w:hAnsi="Arial" w:cs="Arial"/>
          <w:lang w:eastAsia="es-MX"/>
        </w:rPr>
        <w:t xml:space="preserve">875 de </w:t>
      </w:r>
      <w:r w:rsidR="00B36167">
        <w:rPr>
          <w:rFonts w:ascii="Arial" w:hAnsi="Arial" w:cs="Arial"/>
          <w:lang w:eastAsia="es-MX"/>
        </w:rPr>
        <w:t>la materia</w:t>
      </w:r>
      <w:r w:rsidR="005C6A0B" w:rsidRPr="005C6A0B">
        <w:rPr>
          <w:rFonts w:ascii="Arial" w:hAnsi="Arial" w:cs="Arial"/>
          <w:lang w:eastAsia="es-MX"/>
        </w:rPr>
        <w:t xml:space="preserve"> </w:t>
      </w:r>
      <w:r w:rsidR="005C6A0B">
        <w:rPr>
          <w:rFonts w:ascii="Arial" w:hAnsi="Arial" w:cs="Arial"/>
          <w:lang w:eastAsia="es-MX"/>
        </w:rPr>
        <w:t>e</w:t>
      </w:r>
      <w:r w:rsidR="00B36167">
        <w:rPr>
          <w:rFonts w:ascii="Arial" w:hAnsi="Arial" w:cs="Arial"/>
          <w:lang w:eastAsia="es-MX"/>
        </w:rPr>
        <w:t>n</w:t>
      </w:r>
      <w:r w:rsidR="005C6A0B">
        <w:rPr>
          <w:rFonts w:ascii="Arial" w:hAnsi="Arial" w:cs="Arial"/>
          <w:lang w:eastAsia="es-MX"/>
        </w:rPr>
        <w:t xml:space="preserve"> Veracruz</w:t>
      </w:r>
      <w:r w:rsidR="00F73CEA">
        <w:rPr>
          <w:rFonts w:ascii="Arial" w:hAnsi="Arial" w:cs="Arial"/>
          <w:lang w:eastAsia="es-MX"/>
        </w:rPr>
        <w:t xml:space="preserve">, así como otros ordenamientos nacionales e internacionales. </w:t>
      </w:r>
    </w:p>
    <w:p w:rsidR="000B4A02" w:rsidRDefault="000B4A02" w:rsidP="005560D6">
      <w:pPr>
        <w:rPr>
          <w:rFonts w:ascii="Arial" w:hAnsi="Arial" w:cs="Arial"/>
          <w:lang w:eastAsia="es-MX"/>
        </w:rPr>
      </w:pPr>
    </w:p>
    <w:p w:rsidR="00877F21" w:rsidRDefault="000B4A02" w:rsidP="005560D6">
      <w:pPr>
        <w:rPr>
          <w:rFonts w:ascii="Arial" w:hAnsi="Arial" w:cs="Arial"/>
          <w:lang w:eastAsia="es-MX"/>
        </w:rPr>
      </w:pPr>
      <w:r>
        <w:rPr>
          <w:rFonts w:ascii="Arial" w:hAnsi="Arial" w:cs="Arial"/>
          <w:lang w:eastAsia="es-MX"/>
        </w:rPr>
        <w:t>Por lo que</w:t>
      </w:r>
      <w:r w:rsidR="00877F21">
        <w:rPr>
          <w:rFonts w:ascii="Arial" w:hAnsi="Arial" w:cs="Arial"/>
          <w:lang w:eastAsia="es-MX"/>
        </w:rPr>
        <w:t>,</w:t>
      </w:r>
      <w:r>
        <w:rPr>
          <w:rFonts w:ascii="Arial" w:hAnsi="Arial" w:cs="Arial"/>
          <w:lang w:eastAsia="es-MX"/>
        </w:rPr>
        <w:t xml:space="preserve"> </w:t>
      </w:r>
      <w:r w:rsidR="00704EDD">
        <w:rPr>
          <w:rFonts w:ascii="Arial" w:hAnsi="Arial" w:cs="Arial"/>
          <w:lang w:eastAsia="es-MX"/>
        </w:rPr>
        <w:t xml:space="preserve">ateniendo a ello y a tesis de la Suprema Corte de Justicia de la Nación, este tipo de investigaciones </w:t>
      </w:r>
      <w:r w:rsidR="00704EDD" w:rsidRPr="00704EDD">
        <w:rPr>
          <w:rFonts w:ascii="Arial" w:hAnsi="Arial" w:cs="Arial"/>
          <w:lang w:eastAsia="es-MX"/>
        </w:rPr>
        <w:t>no pueden clasificarse como confidenciales</w:t>
      </w:r>
      <w:r w:rsidR="007C4E9B">
        <w:rPr>
          <w:rFonts w:ascii="Arial" w:hAnsi="Arial" w:cs="Arial"/>
          <w:lang w:eastAsia="es-MX"/>
        </w:rPr>
        <w:t xml:space="preserve">, ya que </w:t>
      </w:r>
      <w:r w:rsidR="007C4E9B" w:rsidRPr="007C4E9B">
        <w:rPr>
          <w:rFonts w:ascii="Arial" w:hAnsi="Arial" w:cs="Arial"/>
          <w:lang w:eastAsia="es-MX"/>
        </w:rPr>
        <w:t xml:space="preserve">el acceso a la información </w:t>
      </w:r>
      <w:r w:rsidR="007C4E9B">
        <w:rPr>
          <w:rFonts w:ascii="Arial" w:hAnsi="Arial" w:cs="Arial"/>
          <w:lang w:eastAsia="es-MX"/>
        </w:rPr>
        <w:t xml:space="preserve">tiene relevancia </w:t>
      </w:r>
      <w:r w:rsidR="007C4E9B" w:rsidRPr="007C4E9B">
        <w:rPr>
          <w:rFonts w:ascii="Arial" w:hAnsi="Arial" w:cs="Arial"/>
          <w:lang w:eastAsia="es-MX"/>
        </w:rPr>
        <w:t>no s</w:t>
      </w:r>
      <w:r w:rsidR="007C4E9B">
        <w:rPr>
          <w:rFonts w:ascii="Arial" w:hAnsi="Arial" w:cs="Arial"/>
          <w:lang w:eastAsia="es-MX"/>
        </w:rPr>
        <w:t>o</w:t>
      </w:r>
      <w:r w:rsidR="007C4E9B" w:rsidRPr="007C4E9B">
        <w:rPr>
          <w:rFonts w:ascii="Arial" w:hAnsi="Arial" w:cs="Arial"/>
          <w:lang w:eastAsia="es-MX"/>
        </w:rPr>
        <w:t xml:space="preserve">lo </w:t>
      </w:r>
      <w:r w:rsidR="007C4E9B">
        <w:rPr>
          <w:rFonts w:ascii="Arial" w:hAnsi="Arial" w:cs="Arial"/>
          <w:lang w:eastAsia="es-MX"/>
        </w:rPr>
        <w:t xml:space="preserve">para </w:t>
      </w:r>
      <w:r w:rsidR="007C4E9B" w:rsidRPr="007C4E9B">
        <w:rPr>
          <w:rFonts w:ascii="Arial" w:hAnsi="Arial" w:cs="Arial"/>
          <w:lang w:eastAsia="es-MX"/>
        </w:rPr>
        <w:t xml:space="preserve">las víctimas en forma directa </w:t>
      </w:r>
      <w:r w:rsidR="00877F21">
        <w:rPr>
          <w:rFonts w:ascii="Arial" w:hAnsi="Arial" w:cs="Arial"/>
          <w:lang w:eastAsia="es-MX"/>
        </w:rPr>
        <w:t>pues</w:t>
      </w:r>
      <w:r w:rsidR="007C4E9B" w:rsidRPr="007C4E9B">
        <w:rPr>
          <w:rFonts w:ascii="Arial" w:hAnsi="Arial" w:cs="Arial"/>
          <w:lang w:eastAsia="es-MX"/>
        </w:rPr>
        <w:t xml:space="preserve"> ofenden a toda la sociedad</w:t>
      </w:r>
      <w:r w:rsidR="00877F21">
        <w:rPr>
          <w:rFonts w:ascii="Arial" w:hAnsi="Arial" w:cs="Arial"/>
          <w:lang w:eastAsia="es-MX"/>
        </w:rPr>
        <w:t xml:space="preserve">; </w:t>
      </w:r>
      <w:r w:rsidR="007C4E9B" w:rsidRPr="007C4E9B">
        <w:rPr>
          <w:rFonts w:ascii="Arial" w:hAnsi="Arial" w:cs="Arial"/>
          <w:lang w:eastAsia="es-MX"/>
        </w:rPr>
        <w:t xml:space="preserve">por su gravedad y por las repercusiones que implican en el ámbito local y nacional, existe un interés especial de los ciudadanos en conocer a detalle las acciones y resultados que las autoridades realizan en este tipo de delitos, a fin de tener la certeza </w:t>
      </w:r>
      <w:r w:rsidR="00877F21">
        <w:rPr>
          <w:rFonts w:ascii="Arial" w:hAnsi="Arial" w:cs="Arial"/>
          <w:lang w:eastAsia="es-MX"/>
        </w:rPr>
        <w:t xml:space="preserve">de que se </w:t>
      </w:r>
      <w:r w:rsidR="007C4E9B" w:rsidRPr="007C4E9B">
        <w:rPr>
          <w:rFonts w:ascii="Arial" w:hAnsi="Arial" w:cs="Arial"/>
          <w:lang w:eastAsia="es-MX"/>
        </w:rPr>
        <w:t>encuentr</w:t>
      </w:r>
      <w:r w:rsidR="00877F21">
        <w:rPr>
          <w:rFonts w:ascii="Arial" w:hAnsi="Arial" w:cs="Arial"/>
          <w:lang w:eastAsia="es-MX"/>
        </w:rPr>
        <w:t>an</w:t>
      </w:r>
      <w:r w:rsidR="007C4E9B" w:rsidRPr="007C4E9B">
        <w:rPr>
          <w:rFonts w:ascii="Arial" w:hAnsi="Arial" w:cs="Arial"/>
          <w:lang w:eastAsia="es-MX"/>
        </w:rPr>
        <w:t xml:space="preserve"> ajustada</w:t>
      </w:r>
      <w:r w:rsidR="00877F21">
        <w:rPr>
          <w:rFonts w:ascii="Arial" w:hAnsi="Arial" w:cs="Arial"/>
          <w:lang w:eastAsia="es-MX"/>
        </w:rPr>
        <w:t>s</w:t>
      </w:r>
      <w:r w:rsidR="007C4E9B" w:rsidRPr="007C4E9B">
        <w:rPr>
          <w:rFonts w:ascii="Arial" w:hAnsi="Arial" w:cs="Arial"/>
          <w:lang w:eastAsia="es-MX"/>
        </w:rPr>
        <w:t xml:space="preserve"> a derecho</w:t>
      </w:r>
      <w:r w:rsidR="00877F21">
        <w:rPr>
          <w:rFonts w:ascii="Arial" w:hAnsi="Arial" w:cs="Arial"/>
          <w:lang w:eastAsia="es-MX"/>
        </w:rPr>
        <w:t>.</w:t>
      </w:r>
    </w:p>
    <w:p w:rsidR="00F20CDC" w:rsidRDefault="00F20CDC" w:rsidP="005560D6">
      <w:pPr>
        <w:rPr>
          <w:rFonts w:ascii="Arial" w:hAnsi="Arial" w:cs="Arial"/>
          <w:lang w:eastAsia="es-MX"/>
        </w:rPr>
      </w:pPr>
    </w:p>
    <w:p w:rsidR="00F20CDC" w:rsidRDefault="00F20CDC" w:rsidP="005560D6">
      <w:pPr>
        <w:rPr>
          <w:rFonts w:ascii="Arial" w:hAnsi="Arial" w:cs="Arial"/>
          <w:lang w:eastAsia="es-MX"/>
        </w:rPr>
      </w:pPr>
      <w:r>
        <w:rPr>
          <w:rFonts w:ascii="Arial" w:hAnsi="Arial" w:cs="Arial"/>
          <w:lang w:eastAsia="es-MX"/>
        </w:rPr>
        <w:t>Con su resolución, los comisionados del IVAI enfatizaron que l</w:t>
      </w:r>
      <w:r w:rsidRPr="00F20CDC">
        <w:rPr>
          <w:rFonts w:ascii="Arial" w:hAnsi="Arial" w:cs="Arial"/>
          <w:lang w:eastAsia="es-MX"/>
        </w:rPr>
        <w:t xml:space="preserve">a excepción a la regla general de reserva de las averiguaciones previas es acorde con los principios constitucionales que rigen la materia de acceso a información, ya que las razones para proteger la secrecía de investigaciones ministeriales son de menor jerarquía </w:t>
      </w:r>
      <w:r w:rsidR="00D84EA3">
        <w:rPr>
          <w:rFonts w:ascii="Arial" w:hAnsi="Arial" w:cs="Arial"/>
          <w:lang w:eastAsia="es-MX"/>
        </w:rPr>
        <w:t>que e</w:t>
      </w:r>
      <w:r w:rsidRPr="00F20CDC">
        <w:rPr>
          <w:rFonts w:ascii="Arial" w:hAnsi="Arial" w:cs="Arial"/>
          <w:lang w:eastAsia="es-MX"/>
        </w:rPr>
        <w:t xml:space="preserve">l interés público de transparentar la gestión gubernamental, en una materia </w:t>
      </w:r>
      <w:r w:rsidR="00D84EA3">
        <w:rPr>
          <w:rFonts w:ascii="Arial" w:hAnsi="Arial" w:cs="Arial"/>
          <w:lang w:eastAsia="es-MX"/>
        </w:rPr>
        <w:t xml:space="preserve">que tiene </w:t>
      </w:r>
      <w:r w:rsidRPr="00F20CDC">
        <w:rPr>
          <w:rFonts w:ascii="Arial" w:hAnsi="Arial" w:cs="Arial"/>
          <w:lang w:eastAsia="es-MX"/>
        </w:rPr>
        <w:t>la más alta trascendencia en sociedades democráticas como es la del respeto a los derechos fundamentales.</w:t>
      </w:r>
    </w:p>
    <w:p w:rsidR="00877F21" w:rsidRDefault="00877F21" w:rsidP="005560D6">
      <w:pPr>
        <w:rPr>
          <w:rFonts w:ascii="Arial" w:hAnsi="Arial" w:cs="Arial"/>
          <w:lang w:eastAsia="es-MX"/>
        </w:rPr>
      </w:pPr>
    </w:p>
    <w:p w:rsidR="003009F7" w:rsidRDefault="009E21F5" w:rsidP="000B4A02">
      <w:pPr>
        <w:rPr>
          <w:rFonts w:ascii="Arial" w:hAnsi="Arial" w:cs="Arial"/>
          <w:lang w:eastAsia="es-MX"/>
        </w:rPr>
      </w:pPr>
      <w:r>
        <w:rPr>
          <w:rFonts w:ascii="Arial" w:hAnsi="Arial" w:cs="Arial"/>
          <w:lang w:eastAsia="es-MX"/>
        </w:rPr>
        <w:lastRenderedPageBreak/>
        <w:t xml:space="preserve">En consecuencia, </w:t>
      </w:r>
      <w:r w:rsidR="000B4A02">
        <w:rPr>
          <w:rFonts w:ascii="Arial" w:hAnsi="Arial" w:cs="Arial"/>
          <w:lang w:eastAsia="es-MX"/>
        </w:rPr>
        <w:t xml:space="preserve">la FGE deberá </w:t>
      </w:r>
      <w:r w:rsidR="00C704A9">
        <w:rPr>
          <w:rFonts w:ascii="Arial" w:hAnsi="Arial" w:cs="Arial"/>
          <w:lang w:eastAsia="es-MX"/>
        </w:rPr>
        <w:t xml:space="preserve">entregar </w:t>
      </w:r>
      <w:r w:rsidR="00C704A9" w:rsidRPr="000B4A02">
        <w:rPr>
          <w:rFonts w:ascii="Arial" w:hAnsi="Arial" w:cs="Arial"/>
          <w:lang w:eastAsia="es-MX"/>
        </w:rPr>
        <w:t xml:space="preserve">versión pública de la investigación ministerial </w:t>
      </w:r>
      <w:r w:rsidR="00C704A9">
        <w:rPr>
          <w:rFonts w:ascii="Arial" w:hAnsi="Arial" w:cs="Arial"/>
          <w:lang w:eastAsia="es-MX"/>
        </w:rPr>
        <w:t>en cuestión</w:t>
      </w:r>
      <w:r w:rsidR="00C704A9">
        <w:rPr>
          <w:rFonts w:ascii="Arial" w:hAnsi="Arial" w:cs="Arial"/>
          <w:lang w:eastAsia="es-MX"/>
        </w:rPr>
        <w:t>,</w:t>
      </w:r>
      <w:r w:rsidR="00C704A9" w:rsidRPr="00C704A9">
        <w:rPr>
          <w:rFonts w:ascii="Arial" w:hAnsi="Arial" w:cs="Arial"/>
          <w:lang w:eastAsia="es-MX"/>
        </w:rPr>
        <w:t xml:space="preserve"> así como cualquier otro documento que tenga </w:t>
      </w:r>
      <w:r w:rsidR="00C704A9">
        <w:rPr>
          <w:rFonts w:ascii="Arial" w:hAnsi="Arial" w:cs="Arial"/>
          <w:lang w:eastAsia="es-MX"/>
        </w:rPr>
        <w:t>relación</w:t>
      </w:r>
      <w:r w:rsidR="003009F7">
        <w:rPr>
          <w:rFonts w:ascii="Arial" w:hAnsi="Arial" w:cs="Arial"/>
          <w:lang w:eastAsia="es-MX"/>
        </w:rPr>
        <w:t xml:space="preserve">; debiendo informar al solicitante previamente </w:t>
      </w:r>
      <w:r w:rsidR="000B4A02" w:rsidRPr="00E60039">
        <w:rPr>
          <w:rFonts w:ascii="Arial" w:hAnsi="Arial" w:cs="Arial"/>
          <w:lang w:eastAsia="es-MX"/>
        </w:rPr>
        <w:t xml:space="preserve">el número de hojas, costo, horario y domicilio para el pago </w:t>
      </w:r>
      <w:r w:rsidR="00B1479D">
        <w:rPr>
          <w:rFonts w:ascii="Arial" w:hAnsi="Arial" w:cs="Arial"/>
          <w:lang w:eastAsia="es-MX"/>
        </w:rPr>
        <w:t>correspondiente</w:t>
      </w:r>
      <w:r w:rsidR="003009F7">
        <w:rPr>
          <w:rFonts w:ascii="Arial" w:hAnsi="Arial" w:cs="Arial"/>
          <w:lang w:eastAsia="es-MX"/>
        </w:rPr>
        <w:t xml:space="preserve">. </w:t>
      </w:r>
      <w:r w:rsidR="00B1479D">
        <w:rPr>
          <w:rFonts w:ascii="Arial" w:hAnsi="Arial" w:cs="Arial"/>
          <w:lang w:eastAsia="es-MX"/>
        </w:rPr>
        <w:t>D</w:t>
      </w:r>
      <w:r w:rsidR="003009F7">
        <w:rPr>
          <w:rFonts w:ascii="Arial" w:hAnsi="Arial" w:cs="Arial"/>
          <w:lang w:eastAsia="es-MX"/>
        </w:rPr>
        <w:t xml:space="preserve">eberá eliminar </w:t>
      </w:r>
      <w:r w:rsidR="003009F7" w:rsidRPr="003009F7">
        <w:rPr>
          <w:rFonts w:ascii="Arial" w:hAnsi="Arial" w:cs="Arial"/>
          <w:lang w:eastAsia="es-MX"/>
        </w:rPr>
        <w:t>las partes o secciones que contenga</w:t>
      </w:r>
      <w:r w:rsidR="003009F7">
        <w:rPr>
          <w:rFonts w:ascii="Arial" w:hAnsi="Arial" w:cs="Arial"/>
          <w:lang w:eastAsia="es-MX"/>
        </w:rPr>
        <w:t>n</w:t>
      </w:r>
      <w:r w:rsidR="003009F7" w:rsidRPr="003009F7">
        <w:rPr>
          <w:rFonts w:ascii="Arial" w:hAnsi="Arial" w:cs="Arial"/>
          <w:lang w:eastAsia="es-MX"/>
        </w:rPr>
        <w:t xml:space="preserve"> datos personales de las víctimas, infractor, familiares, testigos o terceros relacionados</w:t>
      </w:r>
      <w:r w:rsidR="00B1479D">
        <w:rPr>
          <w:rFonts w:ascii="Arial" w:hAnsi="Arial" w:cs="Arial"/>
          <w:lang w:eastAsia="es-MX"/>
        </w:rPr>
        <w:t>,</w:t>
      </w:r>
      <w:r w:rsidR="003009F7" w:rsidRPr="003009F7">
        <w:rPr>
          <w:rFonts w:ascii="Arial" w:hAnsi="Arial" w:cs="Arial"/>
          <w:lang w:eastAsia="es-MX"/>
        </w:rPr>
        <w:t xml:space="preserve"> como</w:t>
      </w:r>
      <w:r w:rsidR="00B1479D">
        <w:rPr>
          <w:rFonts w:ascii="Arial" w:hAnsi="Arial" w:cs="Arial"/>
          <w:lang w:eastAsia="es-MX"/>
        </w:rPr>
        <w:t>:</w:t>
      </w:r>
      <w:r w:rsidR="003009F7" w:rsidRPr="003009F7">
        <w:rPr>
          <w:rFonts w:ascii="Arial" w:hAnsi="Arial" w:cs="Arial"/>
          <w:lang w:eastAsia="es-MX"/>
        </w:rPr>
        <w:t xml:space="preserve"> nombres, domicilios, números telefónicos particulares, datos patrimoniales, estado de salud física y mental o cualquier otr</w:t>
      </w:r>
      <w:r w:rsidR="003009F7">
        <w:rPr>
          <w:rFonts w:ascii="Arial" w:hAnsi="Arial" w:cs="Arial"/>
          <w:lang w:eastAsia="es-MX"/>
        </w:rPr>
        <w:t>o</w:t>
      </w:r>
      <w:r w:rsidR="003009F7" w:rsidRPr="003009F7">
        <w:rPr>
          <w:rFonts w:ascii="Arial" w:hAnsi="Arial" w:cs="Arial"/>
          <w:lang w:eastAsia="es-MX"/>
        </w:rPr>
        <w:t xml:space="preserve"> que </w:t>
      </w:r>
      <w:r w:rsidR="003009F7">
        <w:rPr>
          <w:rFonts w:ascii="Arial" w:hAnsi="Arial" w:cs="Arial"/>
          <w:lang w:eastAsia="es-MX"/>
        </w:rPr>
        <w:t xml:space="preserve">los </w:t>
      </w:r>
      <w:r w:rsidR="003009F7" w:rsidRPr="003009F7">
        <w:rPr>
          <w:rFonts w:ascii="Arial" w:hAnsi="Arial" w:cs="Arial"/>
          <w:lang w:eastAsia="es-MX"/>
        </w:rPr>
        <w:t>haga identificable</w:t>
      </w:r>
      <w:r w:rsidR="003009F7">
        <w:rPr>
          <w:rFonts w:ascii="Arial" w:hAnsi="Arial" w:cs="Arial"/>
          <w:lang w:eastAsia="es-MX"/>
        </w:rPr>
        <w:t>s</w:t>
      </w:r>
      <w:r w:rsidR="00B1479D">
        <w:rPr>
          <w:rFonts w:ascii="Arial" w:hAnsi="Arial" w:cs="Arial"/>
          <w:lang w:eastAsia="es-MX"/>
        </w:rPr>
        <w:t xml:space="preserve">, </w:t>
      </w:r>
      <w:r w:rsidR="00B1479D" w:rsidRPr="00B1479D">
        <w:rPr>
          <w:rFonts w:ascii="Arial" w:hAnsi="Arial" w:cs="Arial"/>
          <w:lang w:eastAsia="es-MX"/>
        </w:rPr>
        <w:t xml:space="preserve">con excepción del nombre de </w:t>
      </w:r>
      <w:r w:rsidR="00B1479D">
        <w:rPr>
          <w:rFonts w:ascii="Arial" w:hAnsi="Arial" w:cs="Arial"/>
          <w:lang w:eastAsia="es-MX"/>
        </w:rPr>
        <w:t xml:space="preserve">las </w:t>
      </w:r>
      <w:r w:rsidR="00B1479D" w:rsidRPr="00B1479D">
        <w:rPr>
          <w:rFonts w:ascii="Arial" w:hAnsi="Arial" w:cs="Arial"/>
          <w:lang w:eastAsia="es-MX"/>
        </w:rPr>
        <w:t>personas desaparecidas</w:t>
      </w:r>
      <w:r w:rsidR="003009F7" w:rsidRPr="003009F7">
        <w:rPr>
          <w:rFonts w:ascii="Arial" w:hAnsi="Arial" w:cs="Arial"/>
          <w:lang w:eastAsia="es-MX"/>
        </w:rPr>
        <w:t xml:space="preserve">.  </w:t>
      </w:r>
      <w:r w:rsidR="003009F7">
        <w:rPr>
          <w:rFonts w:ascii="Arial" w:hAnsi="Arial" w:cs="Arial"/>
          <w:lang w:eastAsia="es-MX"/>
        </w:rPr>
        <w:t xml:space="preserve"> </w:t>
      </w:r>
    </w:p>
    <w:p w:rsidR="00A85F12" w:rsidRDefault="00A85F12" w:rsidP="00A85F12">
      <w:pPr>
        <w:rPr>
          <w:rFonts w:ascii="Arial" w:hAnsi="Arial" w:cs="Arial"/>
          <w:lang w:eastAsia="es-MX"/>
        </w:rPr>
      </w:pPr>
    </w:p>
    <w:p w:rsidR="000E3BB9" w:rsidRDefault="00A85F12" w:rsidP="00A85F12">
      <w:pPr>
        <w:rPr>
          <w:rFonts w:ascii="Arial" w:hAnsi="Arial" w:cs="Arial"/>
          <w:lang w:eastAsia="es-MX"/>
        </w:rPr>
      </w:pPr>
      <w:r>
        <w:rPr>
          <w:rFonts w:ascii="Arial" w:hAnsi="Arial" w:cs="Arial"/>
          <w:lang w:eastAsia="es-MX"/>
        </w:rPr>
        <w:t>Asimismo, l</w:t>
      </w:r>
      <w:r w:rsidR="000E3BB9">
        <w:rPr>
          <w:rFonts w:ascii="Arial" w:hAnsi="Arial" w:cs="Arial"/>
          <w:lang w:eastAsia="es-MX"/>
        </w:rPr>
        <w:t xml:space="preserve">a Fiscalía tendrá que </w:t>
      </w:r>
      <w:r w:rsidR="000E3BB9" w:rsidRPr="000371F3">
        <w:rPr>
          <w:rFonts w:ascii="Arial" w:hAnsi="Arial" w:cs="Arial"/>
          <w:lang w:eastAsia="es-MX"/>
        </w:rPr>
        <w:t>valorar y</w:t>
      </w:r>
      <w:r w:rsidR="000E3BB9">
        <w:rPr>
          <w:rFonts w:ascii="Arial" w:hAnsi="Arial" w:cs="Arial"/>
          <w:lang w:eastAsia="es-MX"/>
        </w:rPr>
        <w:t>,</w:t>
      </w:r>
      <w:r w:rsidR="000E3BB9" w:rsidRPr="000371F3">
        <w:rPr>
          <w:rFonts w:ascii="Arial" w:hAnsi="Arial" w:cs="Arial"/>
          <w:lang w:eastAsia="es-MX"/>
        </w:rPr>
        <w:t xml:space="preserve"> en su caso</w:t>
      </w:r>
      <w:r w:rsidR="000E3BB9">
        <w:rPr>
          <w:rFonts w:ascii="Arial" w:hAnsi="Arial" w:cs="Arial"/>
          <w:lang w:eastAsia="es-MX"/>
        </w:rPr>
        <w:t>,</w:t>
      </w:r>
      <w:r w:rsidR="000E3BB9" w:rsidRPr="000371F3">
        <w:rPr>
          <w:rFonts w:ascii="Arial" w:hAnsi="Arial" w:cs="Arial"/>
          <w:lang w:eastAsia="es-MX"/>
        </w:rPr>
        <w:t xml:space="preserve"> reservar por excepción</w:t>
      </w:r>
      <w:r w:rsidR="000E3BB9">
        <w:rPr>
          <w:rFonts w:ascii="Arial" w:hAnsi="Arial" w:cs="Arial"/>
          <w:lang w:eastAsia="es-MX"/>
        </w:rPr>
        <w:t xml:space="preserve"> </w:t>
      </w:r>
      <w:r w:rsidR="000E3BB9" w:rsidRPr="000E3BB9">
        <w:rPr>
          <w:rFonts w:ascii="Arial" w:hAnsi="Arial" w:cs="Arial"/>
          <w:lang w:eastAsia="es-MX"/>
        </w:rPr>
        <w:t>los nombres de los servidores públicos</w:t>
      </w:r>
      <w:r w:rsidR="000E3BB9">
        <w:rPr>
          <w:rFonts w:ascii="Arial" w:hAnsi="Arial" w:cs="Arial"/>
          <w:lang w:eastAsia="es-MX"/>
        </w:rPr>
        <w:t xml:space="preserve"> que </w:t>
      </w:r>
      <w:r w:rsidR="000E3BB9" w:rsidRPr="000371F3">
        <w:rPr>
          <w:rFonts w:ascii="Arial" w:hAnsi="Arial" w:cs="Arial"/>
          <w:lang w:eastAsia="es-MX"/>
        </w:rPr>
        <w:t>realizan funciones operativas, preventivas y/o correctivas encaminadas a combatir la delincuencia</w:t>
      </w:r>
      <w:r w:rsidR="000E3BB9">
        <w:rPr>
          <w:rFonts w:ascii="Arial" w:hAnsi="Arial" w:cs="Arial"/>
          <w:lang w:eastAsia="es-MX"/>
        </w:rPr>
        <w:t xml:space="preserve"> </w:t>
      </w:r>
      <w:r w:rsidR="000E3BB9" w:rsidRPr="000371F3">
        <w:rPr>
          <w:rFonts w:ascii="Arial" w:hAnsi="Arial" w:cs="Arial"/>
          <w:lang w:eastAsia="es-MX"/>
        </w:rPr>
        <w:t xml:space="preserve">que se encuentren en </w:t>
      </w:r>
      <w:r w:rsidR="000E3BB9">
        <w:rPr>
          <w:rFonts w:ascii="Arial" w:hAnsi="Arial" w:cs="Arial"/>
          <w:lang w:eastAsia="es-MX"/>
        </w:rPr>
        <w:t xml:space="preserve">la </w:t>
      </w:r>
      <w:r w:rsidR="000E3BB9" w:rsidRPr="000371F3">
        <w:rPr>
          <w:rFonts w:ascii="Arial" w:hAnsi="Arial" w:cs="Arial"/>
          <w:lang w:eastAsia="es-MX"/>
        </w:rPr>
        <w:t>carpeta de investigación</w:t>
      </w:r>
      <w:r w:rsidR="000E3BB9" w:rsidRPr="000E3BB9">
        <w:rPr>
          <w:rFonts w:ascii="Arial" w:hAnsi="Arial" w:cs="Arial"/>
          <w:lang w:eastAsia="es-MX"/>
        </w:rPr>
        <w:t xml:space="preserve"> </w:t>
      </w:r>
      <w:r w:rsidR="00792706">
        <w:rPr>
          <w:rFonts w:ascii="Arial" w:hAnsi="Arial" w:cs="Arial"/>
          <w:lang w:eastAsia="es-MX"/>
        </w:rPr>
        <w:t>–</w:t>
      </w:r>
      <w:r w:rsidR="000E3BB9" w:rsidRPr="000371F3">
        <w:rPr>
          <w:rFonts w:ascii="Arial" w:hAnsi="Arial" w:cs="Arial"/>
          <w:lang w:eastAsia="es-MX"/>
        </w:rPr>
        <w:t xml:space="preserve">con excepción de </w:t>
      </w:r>
      <w:r w:rsidR="000E3BB9">
        <w:rPr>
          <w:rFonts w:ascii="Arial" w:hAnsi="Arial" w:cs="Arial"/>
          <w:lang w:eastAsia="es-MX"/>
        </w:rPr>
        <w:t xml:space="preserve">aquellos que </w:t>
      </w:r>
      <w:r w:rsidR="000E3BB9" w:rsidRPr="000371F3">
        <w:rPr>
          <w:rFonts w:ascii="Arial" w:hAnsi="Arial" w:cs="Arial"/>
          <w:lang w:eastAsia="es-MX"/>
        </w:rPr>
        <w:t>hayan sido difundidos en fuentes oficiales</w:t>
      </w:r>
      <w:r w:rsidR="00792706">
        <w:rPr>
          <w:rFonts w:ascii="Arial" w:hAnsi="Arial" w:cs="Arial"/>
          <w:lang w:eastAsia="es-MX"/>
        </w:rPr>
        <w:t xml:space="preserve">–, ya que esto </w:t>
      </w:r>
      <w:r w:rsidR="00792706" w:rsidRPr="00792706">
        <w:rPr>
          <w:rFonts w:ascii="Arial" w:hAnsi="Arial" w:cs="Arial"/>
          <w:lang w:eastAsia="es-MX"/>
        </w:rPr>
        <w:t xml:space="preserve">podría poner en peligro su vida o su seguridad, incluso, la de sus familiares, </w:t>
      </w:r>
      <w:r w:rsidR="00792706">
        <w:rPr>
          <w:rFonts w:ascii="Arial" w:hAnsi="Arial" w:cs="Arial"/>
          <w:lang w:eastAsia="es-MX"/>
        </w:rPr>
        <w:t xml:space="preserve">pues </w:t>
      </w:r>
      <w:r w:rsidR="00792706" w:rsidRPr="00792706">
        <w:rPr>
          <w:rFonts w:ascii="Arial" w:hAnsi="Arial" w:cs="Arial"/>
          <w:lang w:eastAsia="es-MX"/>
        </w:rPr>
        <w:t>podrían verse amenazados o presionad</w:t>
      </w:r>
      <w:r w:rsidR="00B1479D">
        <w:rPr>
          <w:rFonts w:ascii="Arial" w:hAnsi="Arial" w:cs="Arial"/>
          <w:lang w:eastAsia="es-MX"/>
        </w:rPr>
        <w:t>o</w:t>
      </w:r>
      <w:r w:rsidR="00792706" w:rsidRPr="00792706">
        <w:rPr>
          <w:rFonts w:ascii="Arial" w:hAnsi="Arial" w:cs="Arial"/>
          <w:lang w:eastAsia="es-MX"/>
        </w:rPr>
        <w:t xml:space="preserve">s </w:t>
      </w:r>
      <w:r w:rsidR="00792706">
        <w:rPr>
          <w:rFonts w:ascii="Arial" w:hAnsi="Arial" w:cs="Arial"/>
          <w:lang w:eastAsia="es-MX"/>
        </w:rPr>
        <w:t xml:space="preserve">en cuanto </w:t>
      </w:r>
      <w:r w:rsidR="00792706" w:rsidRPr="00792706">
        <w:rPr>
          <w:rFonts w:ascii="Arial" w:hAnsi="Arial" w:cs="Arial"/>
          <w:lang w:eastAsia="es-MX"/>
        </w:rPr>
        <w:t>el seguimiento y vigilancia de los procedimientos</w:t>
      </w:r>
      <w:r>
        <w:rPr>
          <w:rFonts w:ascii="Arial" w:hAnsi="Arial" w:cs="Arial"/>
          <w:lang w:eastAsia="es-MX"/>
        </w:rPr>
        <w:t>.</w:t>
      </w:r>
    </w:p>
    <w:p w:rsidR="000E3BB9" w:rsidRDefault="000E3BB9" w:rsidP="005560D6">
      <w:pPr>
        <w:rPr>
          <w:rFonts w:ascii="Arial" w:hAnsi="Arial" w:cs="Arial"/>
          <w:lang w:eastAsia="es-MX"/>
        </w:rPr>
      </w:pPr>
    </w:p>
    <w:p w:rsidR="00256A92" w:rsidRPr="004D1C1F" w:rsidRDefault="0030057B" w:rsidP="00256A92">
      <w:pPr>
        <w:rPr>
          <w:rFonts w:ascii="Arial" w:hAnsi="Arial" w:cs="Arial"/>
          <w:lang w:eastAsia="es-MX"/>
        </w:rPr>
      </w:pPr>
      <w:r w:rsidRPr="004D1C1F">
        <w:rPr>
          <w:rFonts w:ascii="Arial" w:hAnsi="Arial" w:cs="Arial"/>
          <w:lang w:eastAsia="es-MX"/>
        </w:rPr>
        <w:t xml:space="preserve">En la sesión pública de hoy se emitieron </w:t>
      </w:r>
      <w:r w:rsidR="004F4816">
        <w:rPr>
          <w:rFonts w:ascii="Arial" w:hAnsi="Arial" w:cs="Arial"/>
          <w:lang w:eastAsia="es-MX"/>
        </w:rPr>
        <w:t>312</w:t>
      </w:r>
      <w:r w:rsidR="002F5B84" w:rsidRPr="004D1C1F">
        <w:rPr>
          <w:rFonts w:ascii="Arial" w:hAnsi="Arial" w:cs="Arial"/>
          <w:lang w:eastAsia="es-MX"/>
        </w:rPr>
        <w:t xml:space="preserve"> </w:t>
      </w:r>
      <w:r w:rsidRPr="004D1C1F">
        <w:rPr>
          <w:rFonts w:ascii="Arial" w:hAnsi="Arial" w:cs="Arial"/>
          <w:lang w:eastAsia="es-MX"/>
        </w:rPr>
        <w:t xml:space="preserve">sentencias, correspondientes a </w:t>
      </w:r>
      <w:r w:rsidR="004F4816">
        <w:rPr>
          <w:rFonts w:ascii="Arial" w:hAnsi="Arial" w:cs="Arial"/>
          <w:lang w:eastAsia="es-MX"/>
        </w:rPr>
        <w:t xml:space="preserve">764 </w:t>
      </w:r>
      <w:r w:rsidR="00D52923" w:rsidRPr="004D1C1F">
        <w:rPr>
          <w:rFonts w:ascii="Arial" w:hAnsi="Arial" w:cs="Arial"/>
          <w:lang w:eastAsia="es-MX"/>
        </w:rPr>
        <w:t>expedientes</w:t>
      </w:r>
      <w:r w:rsidR="0074376B" w:rsidRPr="004D1C1F">
        <w:rPr>
          <w:rFonts w:ascii="Arial" w:hAnsi="Arial" w:cs="Arial"/>
          <w:lang w:eastAsia="es-MX"/>
        </w:rPr>
        <w:t>, de lo</w:t>
      </w:r>
      <w:bookmarkStart w:id="0" w:name="_GoBack"/>
      <w:bookmarkEnd w:id="0"/>
      <w:r w:rsidR="0074376B" w:rsidRPr="004D1C1F">
        <w:rPr>
          <w:rFonts w:ascii="Arial" w:hAnsi="Arial" w:cs="Arial"/>
          <w:lang w:eastAsia="es-MX"/>
        </w:rPr>
        <w:t>s cuales</w:t>
      </w:r>
      <w:r w:rsidR="00D52923" w:rsidRPr="004D1C1F">
        <w:rPr>
          <w:rFonts w:ascii="Arial" w:hAnsi="Arial" w:cs="Arial"/>
          <w:lang w:eastAsia="es-MX"/>
        </w:rPr>
        <w:t xml:space="preserve"> </w:t>
      </w:r>
      <w:r w:rsidR="004F4816">
        <w:rPr>
          <w:rFonts w:ascii="Arial" w:hAnsi="Arial" w:cs="Arial"/>
          <w:lang w:eastAsia="es-MX"/>
        </w:rPr>
        <w:t>3</w:t>
      </w:r>
      <w:r w:rsidR="002F5B84" w:rsidRPr="004D1C1F">
        <w:rPr>
          <w:rFonts w:ascii="Arial" w:hAnsi="Arial" w:cs="Arial"/>
          <w:lang w:eastAsia="es-MX"/>
        </w:rPr>
        <w:t xml:space="preserve"> </w:t>
      </w:r>
      <w:r w:rsidR="008A11D6">
        <w:rPr>
          <w:rFonts w:ascii="Arial" w:hAnsi="Arial" w:cs="Arial"/>
          <w:lang w:eastAsia="es-MX"/>
        </w:rPr>
        <w:t xml:space="preserve">fueron </w:t>
      </w:r>
      <w:r w:rsidRPr="004D1C1F">
        <w:rPr>
          <w:rFonts w:ascii="Arial" w:hAnsi="Arial" w:cs="Arial"/>
          <w:lang w:eastAsia="es-MX"/>
        </w:rPr>
        <w:t>denuncias por incumplimiento de obligaciones de transparencia</w:t>
      </w:r>
      <w:r w:rsidR="008A11D6">
        <w:rPr>
          <w:rFonts w:ascii="Arial" w:hAnsi="Arial" w:cs="Arial"/>
          <w:lang w:eastAsia="es-MX"/>
        </w:rPr>
        <w:t xml:space="preserve"> y </w:t>
      </w:r>
      <w:r w:rsidR="008A11D6">
        <w:rPr>
          <w:rFonts w:ascii="Arial" w:hAnsi="Arial" w:cs="Arial"/>
          <w:lang w:eastAsia="es-MX"/>
        </w:rPr>
        <w:t>76</w:t>
      </w:r>
      <w:r w:rsidR="008A11D6">
        <w:rPr>
          <w:rFonts w:ascii="Arial" w:hAnsi="Arial" w:cs="Arial"/>
          <w:lang w:eastAsia="es-MX"/>
        </w:rPr>
        <w:t>1</w:t>
      </w:r>
      <w:r w:rsidR="008A11D6">
        <w:rPr>
          <w:rFonts w:ascii="Arial" w:hAnsi="Arial" w:cs="Arial"/>
          <w:lang w:eastAsia="es-MX"/>
        </w:rPr>
        <w:t xml:space="preserve"> </w:t>
      </w:r>
      <w:r w:rsidR="008A11D6" w:rsidRPr="004D1C1F">
        <w:rPr>
          <w:rFonts w:ascii="Arial" w:hAnsi="Arial" w:cs="Arial"/>
          <w:lang w:eastAsia="es-MX"/>
        </w:rPr>
        <w:t>fueron recursos de revisión</w:t>
      </w:r>
      <w:r w:rsidR="008A11D6">
        <w:rPr>
          <w:rFonts w:ascii="Arial" w:hAnsi="Arial" w:cs="Arial"/>
          <w:lang w:eastAsia="es-MX"/>
        </w:rPr>
        <w:t xml:space="preserve">, uno relacionado con protección </w:t>
      </w:r>
      <w:r w:rsidR="008A11D6">
        <w:rPr>
          <w:rFonts w:ascii="Arial" w:hAnsi="Arial" w:cs="Arial"/>
          <w:lang w:eastAsia="es-MX"/>
        </w:rPr>
        <w:t>de datos personales</w:t>
      </w:r>
      <w:r w:rsidR="008A11D6">
        <w:rPr>
          <w:rFonts w:ascii="Arial" w:hAnsi="Arial" w:cs="Arial"/>
          <w:lang w:eastAsia="es-MX"/>
        </w:rPr>
        <w:t>.</w:t>
      </w:r>
    </w:p>
    <w:p w:rsidR="00AA4FBF" w:rsidRPr="004D1C1F" w:rsidRDefault="00AA4FBF" w:rsidP="00256A92">
      <w:pPr>
        <w:rPr>
          <w:rFonts w:ascii="Arial" w:hAnsi="Arial" w:cs="Arial"/>
          <w:lang w:eastAsia="es-MX"/>
        </w:rPr>
      </w:pPr>
    </w:p>
    <w:p w:rsidR="006E286C" w:rsidRPr="004D1C1F" w:rsidRDefault="006E286C" w:rsidP="00256A92">
      <w:pPr>
        <w:rPr>
          <w:rFonts w:ascii="Arial" w:hAnsi="Arial" w:cs="Arial"/>
          <w:lang w:eastAsia="es-MX"/>
        </w:rPr>
      </w:pPr>
    </w:p>
    <w:p w:rsidR="00CF42EF" w:rsidRDefault="00CF42EF" w:rsidP="003B596D">
      <w:pPr>
        <w:jc w:val="center"/>
        <w:rPr>
          <w:rFonts w:ascii="Arial" w:hAnsi="Arial" w:cs="Arial"/>
          <w:b/>
          <w:lang w:eastAsia="es-MX"/>
        </w:rPr>
      </w:pPr>
      <w:r w:rsidRPr="004D1C1F">
        <w:rPr>
          <w:rFonts w:ascii="Arial" w:hAnsi="Arial" w:cs="Arial"/>
          <w:b/>
          <w:lang w:eastAsia="es-MX"/>
        </w:rPr>
        <w:t>---000---</w:t>
      </w:r>
    </w:p>
    <w:p w:rsidR="000B4A02" w:rsidRDefault="000B4A02" w:rsidP="003B596D">
      <w:pPr>
        <w:jc w:val="center"/>
        <w:rPr>
          <w:rFonts w:ascii="Arial" w:hAnsi="Arial" w:cs="Arial"/>
          <w:lang w:eastAsia="es-MX"/>
        </w:rPr>
      </w:pPr>
    </w:p>
    <w:p w:rsidR="000B4A02" w:rsidRDefault="000B4A02" w:rsidP="003B596D">
      <w:pPr>
        <w:jc w:val="center"/>
        <w:rPr>
          <w:rFonts w:ascii="Arial" w:hAnsi="Arial" w:cs="Arial"/>
          <w:lang w:eastAsia="es-MX"/>
        </w:rPr>
      </w:pPr>
    </w:p>
    <w:sectPr w:rsidR="000B4A02"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74E5B"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Pr="00ED0024">
      <w:rPr>
        <w:rFonts w:ascii="Arial Narrow" w:hAnsi="Arial Narrow"/>
        <w:b/>
        <w:sz w:val="20"/>
        <w:szCs w:val="20"/>
      </w:rPr>
      <w:t>BOLETÍN.-</w:t>
    </w:r>
    <w:proofErr w:type="gramEnd"/>
    <w:r w:rsidRPr="00ED0024">
      <w:rPr>
        <w:rFonts w:ascii="Arial Narrow" w:hAnsi="Arial Narrow"/>
        <w:b/>
        <w:sz w:val="20"/>
        <w:szCs w:val="20"/>
      </w:rPr>
      <w:t xml:space="preserve"> </w:t>
    </w:r>
    <w:r>
      <w:rPr>
        <w:rFonts w:ascii="Arial Narrow" w:hAnsi="Arial Narrow"/>
        <w:b/>
        <w:sz w:val="20"/>
        <w:szCs w:val="20"/>
      </w:rPr>
      <w:t>2</w:t>
    </w:r>
    <w:r w:rsidR="004F4816">
      <w:rPr>
        <w:rFonts w:ascii="Arial Narrow" w:hAnsi="Arial Narrow"/>
        <w:b/>
        <w:sz w:val="20"/>
        <w:szCs w:val="20"/>
      </w:rPr>
      <w:t>9</w:t>
    </w:r>
  </w:p>
  <w:p w:rsidR="00B74E5B" w:rsidRPr="00ED0024" w:rsidRDefault="004F4816" w:rsidP="00C33AFE">
    <w:pPr>
      <w:pStyle w:val="Encabezado"/>
      <w:rPr>
        <w:rFonts w:ascii="Arial Narrow" w:hAnsi="Arial Narrow"/>
        <w:b/>
        <w:sz w:val="20"/>
        <w:szCs w:val="20"/>
      </w:rPr>
    </w:pPr>
    <w:r>
      <w:rPr>
        <w:rFonts w:ascii="Arial Narrow" w:hAnsi="Arial Narrow"/>
        <w:b/>
        <w:sz w:val="20"/>
        <w:szCs w:val="20"/>
      </w:rPr>
      <w:t>20</w:t>
    </w:r>
    <w:r w:rsidR="00B74E5B">
      <w:rPr>
        <w:rFonts w:ascii="Arial Narrow" w:hAnsi="Arial Narrow"/>
        <w:b/>
        <w:sz w:val="20"/>
        <w:szCs w:val="20"/>
      </w:rPr>
      <w:t>/1</w:t>
    </w:r>
    <w:r>
      <w:rPr>
        <w:rFonts w:ascii="Arial Narrow" w:hAnsi="Arial Narrow"/>
        <w:b/>
        <w:sz w:val="20"/>
        <w:szCs w:val="20"/>
      </w:rPr>
      <w:t>1</w:t>
    </w:r>
    <w:r w:rsidR="00B74E5B" w:rsidRPr="00ED0024">
      <w:rPr>
        <w:rFonts w:ascii="Arial Narrow" w:hAnsi="Arial Narrow"/>
        <w:b/>
        <w:sz w:val="20"/>
        <w:szCs w:val="20"/>
      </w:rPr>
      <w:t>/201</w:t>
    </w:r>
    <w:r w:rsidR="00B74E5B">
      <w:rPr>
        <w:rFonts w:ascii="Arial Narrow" w:hAnsi="Arial Narrow"/>
        <w:b/>
        <w:sz w:val="20"/>
        <w:szCs w:val="20"/>
      </w:rPr>
      <w:t>9</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D0"/>
    <w:rsid w:val="003C643B"/>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7C8"/>
    <w:rsid w:val="00410AFF"/>
    <w:rsid w:val="0041152C"/>
    <w:rsid w:val="00411605"/>
    <w:rsid w:val="00411F7A"/>
    <w:rsid w:val="0041215A"/>
    <w:rsid w:val="00412272"/>
    <w:rsid w:val="00412A7C"/>
    <w:rsid w:val="00412B6E"/>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947"/>
    <w:rsid w:val="007C3EEE"/>
    <w:rsid w:val="007C476E"/>
    <w:rsid w:val="007C4BC6"/>
    <w:rsid w:val="007C4E9B"/>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AB6"/>
    <w:rsid w:val="009A0BF4"/>
    <w:rsid w:val="009A11D9"/>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6B4"/>
    <w:rsid w:val="009B0C96"/>
    <w:rsid w:val="009B101E"/>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E0B"/>
    <w:rsid w:val="00B74E5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3621A"/>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C7AF-2556-48D4-8E3A-A1EAE0CF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95</cp:revision>
  <cp:lastPrinted>2017-03-23T00:31:00Z</cp:lastPrinted>
  <dcterms:created xsi:type="dcterms:W3CDTF">2019-10-09T20:47:00Z</dcterms:created>
  <dcterms:modified xsi:type="dcterms:W3CDTF">2019-11-21T00:13:00Z</dcterms:modified>
</cp:coreProperties>
</file>