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61" w:rsidRDefault="003D1861" w:rsidP="0055252F">
      <w:pPr>
        <w:jc w:val="center"/>
        <w:rPr>
          <w:rFonts w:ascii="Arial" w:hAnsi="Arial" w:cs="Arial"/>
          <w:b/>
          <w:sz w:val="28"/>
          <w:szCs w:val="28"/>
          <w:lang w:eastAsia="es-MX"/>
        </w:rPr>
      </w:pPr>
      <w:r>
        <w:rPr>
          <w:rFonts w:ascii="Arial" w:hAnsi="Arial" w:cs="Arial"/>
          <w:lang w:eastAsia="es-MX"/>
        </w:rPr>
        <w:t xml:space="preserve">Aplicaría en </w:t>
      </w:r>
      <w:r>
        <w:rPr>
          <w:rFonts w:ascii="Arial" w:hAnsi="Arial" w:cs="Arial"/>
          <w:lang w:eastAsia="es-MX"/>
        </w:rPr>
        <w:t>caso</w:t>
      </w:r>
      <w:r>
        <w:rPr>
          <w:rFonts w:ascii="Arial" w:hAnsi="Arial" w:cs="Arial"/>
          <w:lang w:eastAsia="es-MX"/>
        </w:rPr>
        <w:t>s</w:t>
      </w:r>
      <w:r>
        <w:rPr>
          <w:rFonts w:ascii="Arial" w:hAnsi="Arial" w:cs="Arial"/>
          <w:lang w:eastAsia="es-MX"/>
        </w:rPr>
        <w:t xml:space="preserve"> fortuito</w:t>
      </w:r>
      <w:r>
        <w:rPr>
          <w:rFonts w:ascii="Arial" w:hAnsi="Arial" w:cs="Arial"/>
          <w:lang w:eastAsia="es-MX"/>
        </w:rPr>
        <w:t>s</w:t>
      </w:r>
      <w:r>
        <w:rPr>
          <w:rFonts w:ascii="Arial" w:hAnsi="Arial" w:cs="Arial"/>
          <w:lang w:eastAsia="es-MX"/>
        </w:rPr>
        <w:t>, inesperado</w:t>
      </w:r>
      <w:r>
        <w:rPr>
          <w:rFonts w:ascii="Arial" w:hAnsi="Arial" w:cs="Arial"/>
          <w:lang w:eastAsia="es-MX"/>
        </w:rPr>
        <w:t>s</w:t>
      </w:r>
      <w:r>
        <w:rPr>
          <w:rFonts w:ascii="Arial" w:hAnsi="Arial" w:cs="Arial"/>
          <w:lang w:eastAsia="es-MX"/>
        </w:rPr>
        <w:t>, ajeno</w:t>
      </w:r>
      <w:r>
        <w:rPr>
          <w:rFonts w:ascii="Arial" w:hAnsi="Arial" w:cs="Arial"/>
          <w:lang w:eastAsia="es-MX"/>
        </w:rPr>
        <w:t>s</w:t>
      </w:r>
      <w:r>
        <w:rPr>
          <w:rFonts w:ascii="Arial" w:hAnsi="Arial" w:cs="Arial"/>
          <w:lang w:eastAsia="es-MX"/>
        </w:rPr>
        <w:t xml:space="preserve"> al responsable</w:t>
      </w:r>
    </w:p>
    <w:p w:rsidR="003D1861" w:rsidRDefault="003D1861" w:rsidP="0055252F">
      <w:pPr>
        <w:jc w:val="center"/>
        <w:rPr>
          <w:rFonts w:ascii="Arial" w:hAnsi="Arial" w:cs="Arial"/>
          <w:b/>
          <w:sz w:val="28"/>
          <w:szCs w:val="28"/>
          <w:lang w:eastAsia="es-MX"/>
        </w:rPr>
      </w:pPr>
    </w:p>
    <w:p w:rsidR="003D1861" w:rsidRDefault="003D1861" w:rsidP="0055252F">
      <w:pPr>
        <w:jc w:val="center"/>
        <w:rPr>
          <w:rFonts w:ascii="Arial" w:hAnsi="Arial" w:cs="Arial"/>
          <w:b/>
          <w:sz w:val="28"/>
          <w:szCs w:val="28"/>
          <w:lang w:eastAsia="es-MX"/>
        </w:rPr>
      </w:pPr>
      <w:r>
        <w:rPr>
          <w:rFonts w:ascii="Arial" w:hAnsi="Arial" w:cs="Arial"/>
          <w:b/>
          <w:sz w:val="28"/>
          <w:szCs w:val="28"/>
          <w:lang w:eastAsia="es-MX"/>
        </w:rPr>
        <w:t xml:space="preserve">Solo razones válidas justifican que no se </w:t>
      </w:r>
    </w:p>
    <w:p w:rsidR="003D1861" w:rsidRPr="001450EA" w:rsidRDefault="003D1861" w:rsidP="0055252F">
      <w:pPr>
        <w:jc w:val="center"/>
        <w:rPr>
          <w:rFonts w:ascii="Arial" w:hAnsi="Arial" w:cs="Arial"/>
          <w:b/>
          <w:sz w:val="28"/>
          <w:szCs w:val="28"/>
          <w:lang w:eastAsia="es-MX"/>
        </w:rPr>
      </w:pPr>
      <w:r>
        <w:rPr>
          <w:rFonts w:ascii="Arial" w:hAnsi="Arial" w:cs="Arial"/>
          <w:b/>
          <w:sz w:val="28"/>
          <w:szCs w:val="28"/>
          <w:lang w:eastAsia="es-MX"/>
        </w:rPr>
        <w:t>responda solicitud de información: IVAI</w:t>
      </w:r>
    </w:p>
    <w:p w:rsidR="003D1861" w:rsidRDefault="003D1861" w:rsidP="009C1E0A">
      <w:pPr>
        <w:jc w:val="center"/>
        <w:rPr>
          <w:rFonts w:ascii="Arial" w:hAnsi="Arial" w:cs="Arial"/>
          <w:b/>
          <w:sz w:val="28"/>
          <w:szCs w:val="28"/>
          <w:highlight w:val="yellow"/>
          <w:lang w:eastAsia="es-MX"/>
        </w:rPr>
      </w:pPr>
    </w:p>
    <w:p w:rsidR="006F4114" w:rsidRPr="00170504" w:rsidRDefault="00170504" w:rsidP="003D1861">
      <w:pPr>
        <w:pStyle w:val="Prrafodelista"/>
        <w:numPr>
          <w:ilvl w:val="0"/>
          <w:numId w:val="35"/>
        </w:numPr>
        <w:rPr>
          <w:rFonts w:ascii="Arial" w:hAnsi="Arial" w:cs="Arial"/>
          <w:b/>
          <w:sz w:val="20"/>
          <w:szCs w:val="20"/>
          <w:lang w:eastAsia="es-MX"/>
        </w:rPr>
      </w:pPr>
      <w:r w:rsidRPr="00170504">
        <w:rPr>
          <w:rFonts w:ascii="Arial" w:hAnsi="Arial" w:cs="Arial"/>
          <w:sz w:val="20"/>
          <w:szCs w:val="20"/>
          <w:lang w:eastAsia="es-MX"/>
        </w:rPr>
        <w:t>Ayuntamiento de Cuitláhuac</w:t>
      </w:r>
      <w:r w:rsidRPr="00170504">
        <w:rPr>
          <w:rFonts w:ascii="Arial" w:hAnsi="Arial" w:cs="Arial"/>
          <w:sz w:val="20"/>
          <w:szCs w:val="20"/>
          <w:lang w:eastAsia="es-MX"/>
        </w:rPr>
        <w:t xml:space="preserve"> </w:t>
      </w:r>
      <w:r w:rsidR="00DD74B8">
        <w:rPr>
          <w:rFonts w:ascii="Arial" w:hAnsi="Arial" w:cs="Arial"/>
          <w:sz w:val="20"/>
          <w:szCs w:val="20"/>
          <w:lang w:eastAsia="es-MX"/>
        </w:rPr>
        <w:t xml:space="preserve">deberá dar </w:t>
      </w:r>
      <w:r w:rsidRPr="00170504">
        <w:rPr>
          <w:rFonts w:ascii="Arial" w:hAnsi="Arial" w:cs="Arial"/>
          <w:sz w:val="20"/>
          <w:szCs w:val="20"/>
          <w:lang w:eastAsia="es-MX"/>
        </w:rPr>
        <w:t>estadística</w:t>
      </w:r>
      <w:r w:rsidR="00DD74B8">
        <w:rPr>
          <w:rFonts w:ascii="Arial" w:hAnsi="Arial" w:cs="Arial"/>
          <w:sz w:val="20"/>
          <w:szCs w:val="20"/>
          <w:lang w:eastAsia="es-MX"/>
        </w:rPr>
        <w:t>s; omitió realizar trámite argumentando que la petición no era clara</w:t>
      </w:r>
    </w:p>
    <w:p w:rsidR="003D1861" w:rsidRPr="007045D0" w:rsidRDefault="003D1861" w:rsidP="009C1E0A">
      <w:pPr>
        <w:jc w:val="center"/>
        <w:rPr>
          <w:rFonts w:ascii="Arial" w:hAnsi="Arial" w:cs="Arial"/>
          <w:b/>
          <w:sz w:val="28"/>
          <w:szCs w:val="28"/>
          <w:highlight w:val="yellow"/>
          <w:lang w:eastAsia="es-MX"/>
        </w:rPr>
      </w:pPr>
    </w:p>
    <w:p w:rsidR="0024235D" w:rsidRDefault="00CA6FA5" w:rsidP="008C26CC">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8C26CC">
        <w:rPr>
          <w:rFonts w:ascii="Arial" w:hAnsi="Arial" w:cs="Arial"/>
          <w:lang w:eastAsia="es-MX"/>
        </w:rPr>
        <w:t>10</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8C26CC">
        <w:rPr>
          <w:rFonts w:ascii="Arial" w:hAnsi="Arial" w:cs="Arial"/>
          <w:lang w:eastAsia="es-MX"/>
        </w:rPr>
        <w:t xml:space="preserve">septiembre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24235D">
        <w:rPr>
          <w:rFonts w:ascii="Arial" w:hAnsi="Arial" w:cs="Arial"/>
          <w:lang w:eastAsia="es-MX"/>
        </w:rPr>
        <w:t xml:space="preserve">La falta de respuesta a una solicitud de información puede ser </w:t>
      </w:r>
      <w:r w:rsidR="009E7898">
        <w:rPr>
          <w:rFonts w:ascii="Arial" w:hAnsi="Arial" w:cs="Arial"/>
          <w:lang w:eastAsia="es-MX"/>
        </w:rPr>
        <w:t>justificable</w:t>
      </w:r>
      <w:r w:rsidR="0024235D">
        <w:rPr>
          <w:rFonts w:ascii="Arial" w:hAnsi="Arial" w:cs="Arial"/>
          <w:lang w:eastAsia="es-MX"/>
        </w:rPr>
        <w:t xml:space="preserve"> si </w:t>
      </w:r>
      <w:r w:rsidR="0024235D" w:rsidRPr="0024235D">
        <w:rPr>
          <w:rFonts w:ascii="Arial" w:hAnsi="Arial" w:cs="Arial"/>
          <w:lang w:eastAsia="es-MX"/>
        </w:rPr>
        <w:t>exist</w:t>
      </w:r>
      <w:r w:rsidR="0024235D">
        <w:rPr>
          <w:rFonts w:ascii="Arial" w:hAnsi="Arial" w:cs="Arial"/>
          <w:lang w:eastAsia="es-MX"/>
        </w:rPr>
        <w:t>e</w:t>
      </w:r>
      <w:r w:rsidR="0024235D" w:rsidRPr="0024235D">
        <w:rPr>
          <w:rFonts w:ascii="Arial" w:hAnsi="Arial" w:cs="Arial"/>
          <w:lang w:eastAsia="es-MX"/>
        </w:rPr>
        <w:t xml:space="preserve"> una razón válida </w:t>
      </w:r>
      <w:r w:rsidR="0024235D">
        <w:rPr>
          <w:rFonts w:ascii="Arial" w:hAnsi="Arial" w:cs="Arial"/>
          <w:lang w:eastAsia="es-MX"/>
        </w:rPr>
        <w:t xml:space="preserve">como </w:t>
      </w:r>
      <w:r w:rsidR="00232609">
        <w:rPr>
          <w:rFonts w:ascii="Arial" w:hAnsi="Arial" w:cs="Arial"/>
          <w:lang w:eastAsia="es-MX"/>
        </w:rPr>
        <w:t xml:space="preserve">el acontecimiento de un caso fortuito, </w:t>
      </w:r>
      <w:r w:rsidR="007551EC">
        <w:rPr>
          <w:rFonts w:ascii="Arial" w:hAnsi="Arial" w:cs="Arial"/>
          <w:lang w:eastAsia="es-MX"/>
        </w:rPr>
        <w:t>inesperado</w:t>
      </w:r>
      <w:r w:rsidR="009E7898">
        <w:rPr>
          <w:rFonts w:ascii="Arial" w:hAnsi="Arial" w:cs="Arial"/>
          <w:lang w:eastAsia="es-MX"/>
        </w:rPr>
        <w:t xml:space="preserve">, </w:t>
      </w:r>
      <w:r w:rsidR="00232609">
        <w:rPr>
          <w:rFonts w:ascii="Arial" w:hAnsi="Arial" w:cs="Arial"/>
          <w:lang w:eastAsia="es-MX"/>
        </w:rPr>
        <w:t xml:space="preserve">ajeno al responsable; por lo que en esa situación es improcedente dar vista al Órgano Interno de Control. Así lo determinó el Instituto Veracruzano de Acceso a la Información y Protección de Datos Personales (IVAI) al resolver el </w:t>
      </w:r>
      <w:r w:rsidR="00031BD9">
        <w:rPr>
          <w:rFonts w:ascii="Arial" w:hAnsi="Arial" w:cs="Arial"/>
          <w:lang w:eastAsia="es-MX"/>
        </w:rPr>
        <w:t xml:space="preserve">recurso de revisión </w:t>
      </w:r>
      <w:r w:rsidR="00031BD9" w:rsidRPr="00031BD9">
        <w:rPr>
          <w:rFonts w:ascii="Arial" w:hAnsi="Arial" w:cs="Arial"/>
          <w:lang w:eastAsia="es-MX"/>
        </w:rPr>
        <w:t>IVAI-REV/3635/2018/I</w:t>
      </w:r>
      <w:r w:rsidR="00031BD9">
        <w:rPr>
          <w:rFonts w:ascii="Arial" w:hAnsi="Arial" w:cs="Arial"/>
          <w:lang w:eastAsia="es-MX"/>
        </w:rPr>
        <w:t xml:space="preserve"> interpuesto en contra del </w:t>
      </w:r>
      <w:r w:rsidR="00031BD9" w:rsidRPr="00031BD9">
        <w:rPr>
          <w:rFonts w:ascii="Arial" w:hAnsi="Arial" w:cs="Arial"/>
          <w:lang w:eastAsia="es-MX"/>
        </w:rPr>
        <w:t>Poder Legislativo</w:t>
      </w:r>
      <w:r w:rsidR="00031BD9">
        <w:rPr>
          <w:rFonts w:ascii="Arial" w:hAnsi="Arial" w:cs="Arial"/>
          <w:lang w:eastAsia="es-MX"/>
        </w:rPr>
        <w:t xml:space="preserve">. </w:t>
      </w:r>
    </w:p>
    <w:p w:rsidR="00232609" w:rsidRDefault="00232609" w:rsidP="008C26CC">
      <w:pPr>
        <w:rPr>
          <w:rFonts w:ascii="Arial" w:hAnsi="Arial" w:cs="Arial"/>
          <w:lang w:eastAsia="es-MX"/>
        </w:rPr>
      </w:pPr>
    </w:p>
    <w:p w:rsidR="00AD3D44" w:rsidRDefault="009E7898" w:rsidP="009E7898">
      <w:pPr>
        <w:rPr>
          <w:rFonts w:ascii="Arial" w:hAnsi="Arial" w:cs="Arial"/>
          <w:lang w:eastAsia="es-MX"/>
        </w:rPr>
      </w:pPr>
      <w:r>
        <w:rPr>
          <w:rFonts w:ascii="Arial" w:hAnsi="Arial" w:cs="Arial"/>
          <w:lang w:eastAsia="es-MX"/>
        </w:rPr>
        <w:t>Est</w:t>
      </w:r>
      <w:r w:rsidR="001D0CBD">
        <w:rPr>
          <w:rFonts w:ascii="Arial" w:hAnsi="Arial" w:cs="Arial"/>
          <w:lang w:eastAsia="es-MX"/>
        </w:rPr>
        <w:t>e expediente se relaciona con una</w:t>
      </w:r>
      <w:r>
        <w:rPr>
          <w:rFonts w:ascii="Arial" w:hAnsi="Arial" w:cs="Arial"/>
          <w:lang w:eastAsia="es-MX"/>
        </w:rPr>
        <w:t xml:space="preserve"> solicitud hecha al Congreso del Estado para </w:t>
      </w:r>
      <w:r w:rsidR="001D0CBD">
        <w:rPr>
          <w:rFonts w:ascii="Arial" w:hAnsi="Arial" w:cs="Arial"/>
          <w:lang w:eastAsia="es-MX"/>
        </w:rPr>
        <w:t>obtener</w:t>
      </w:r>
      <w:r>
        <w:rPr>
          <w:rFonts w:ascii="Arial" w:hAnsi="Arial" w:cs="Arial"/>
          <w:lang w:eastAsia="es-MX"/>
        </w:rPr>
        <w:t xml:space="preserve"> el </w:t>
      </w:r>
      <w:r w:rsidRPr="009E7898">
        <w:rPr>
          <w:rFonts w:ascii="Arial" w:hAnsi="Arial" w:cs="Arial"/>
          <w:lang w:eastAsia="es-MX"/>
        </w:rPr>
        <w:t xml:space="preserve">informe de la gestión </w:t>
      </w:r>
      <w:r>
        <w:rPr>
          <w:rFonts w:ascii="Arial" w:hAnsi="Arial" w:cs="Arial"/>
          <w:lang w:eastAsia="es-MX"/>
        </w:rPr>
        <w:t>2014-2017</w:t>
      </w:r>
      <w:r w:rsidRPr="009E7898">
        <w:rPr>
          <w:rFonts w:ascii="Arial" w:hAnsi="Arial" w:cs="Arial"/>
          <w:lang w:eastAsia="es-MX"/>
        </w:rPr>
        <w:t xml:space="preserve"> de las acciones y obras realizadas en </w:t>
      </w:r>
      <w:r>
        <w:rPr>
          <w:rFonts w:ascii="Arial" w:hAnsi="Arial" w:cs="Arial"/>
          <w:lang w:eastAsia="es-MX"/>
        </w:rPr>
        <w:t>2017</w:t>
      </w:r>
      <w:r w:rsidRPr="009E7898">
        <w:rPr>
          <w:rFonts w:ascii="Arial" w:hAnsi="Arial" w:cs="Arial"/>
          <w:lang w:eastAsia="es-MX"/>
        </w:rPr>
        <w:t xml:space="preserve"> </w:t>
      </w:r>
      <w:r>
        <w:rPr>
          <w:rFonts w:ascii="Arial" w:hAnsi="Arial" w:cs="Arial"/>
          <w:lang w:eastAsia="es-MX"/>
        </w:rPr>
        <w:t xml:space="preserve">por el Ayuntamiento de Naranjal </w:t>
      </w:r>
      <w:r w:rsidRPr="009E7898">
        <w:rPr>
          <w:rFonts w:ascii="Arial" w:hAnsi="Arial" w:cs="Arial"/>
          <w:lang w:eastAsia="es-MX"/>
        </w:rPr>
        <w:t>y copia de</w:t>
      </w:r>
      <w:r>
        <w:rPr>
          <w:rFonts w:ascii="Arial" w:hAnsi="Arial" w:cs="Arial"/>
          <w:lang w:eastAsia="es-MX"/>
        </w:rPr>
        <w:t xml:space="preserve"> su</w:t>
      </w:r>
      <w:r w:rsidRPr="009E7898">
        <w:rPr>
          <w:rFonts w:ascii="Arial" w:hAnsi="Arial" w:cs="Arial"/>
          <w:lang w:eastAsia="es-MX"/>
        </w:rPr>
        <w:t xml:space="preserve"> Plan Municipal de Desarrollo </w:t>
      </w:r>
      <w:r>
        <w:rPr>
          <w:rFonts w:ascii="Arial" w:hAnsi="Arial" w:cs="Arial"/>
          <w:lang w:eastAsia="es-MX"/>
        </w:rPr>
        <w:t>2018</w:t>
      </w:r>
      <w:r w:rsidRPr="009E7898">
        <w:rPr>
          <w:rFonts w:ascii="Arial" w:hAnsi="Arial" w:cs="Arial"/>
          <w:lang w:eastAsia="es-MX"/>
        </w:rPr>
        <w:t>-</w:t>
      </w:r>
      <w:r>
        <w:rPr>
          <w:rFonts w:ascii="Arial" w:hAnsi="Arial" w:cs="Arial"/>
          <w:lang w:eastAsia="es-MX"/>
        </w:rPr>
        <w:t>2021.</w:t>
      </w:r>
      <w:r w:rsidR="0047523D">
        <w:rPr>
          <w:rFonts w:ascii="Arial" w:hAnsi="Arial" w:cs="Arial"/>
          <w:lang w:eastAsia="es-MX"/>
        </w:rPr>
        <w:t xml:space="preserve"> </w:t>
      </w:r>
    </w:p>
    <w:p w:rsidR="00AD3D44" w:rsidRDefault="00AD3D44" w:rsidP="009E7898">
      <w:pPr>
        <w:rPr>
          <w:rFonts w:ascii="Arial" w:hAnsi="Arial" w:cs="Arial"/>
          <w:lang w:eastAsia="es-MX"/>
        </w:rPr>
      </w:pPr>
    </w:p>
    <w:p w:rsidR="00FA5C7A" w:rsidRDefault="00490A92" w:rsidP="009E7898">
      <w:pPr>
        <w:rPr>
          <w:rFonts w:ascii="Arial" w:hAnsi="Arial" w:cs="Arial"/>
          <w:lang w:eastAsia="es-MX"/>
        </w:rPr>
      </w:pPr>
      <w:r>
        <w:rPr>
          <w:rFonts w:ascii="Arial" w:hAnsi="Arial" w:cs="Arial"/>
          <w:lang w:eastAsia="es-MX"/>
        </w:rPr>
        <w:t>Si bien el</w:t>
      </w:r>
      <w:r w:rsidR="0047523D">
        <w:rPr>
          <w:rFonts w:ascii="Arial" w:hAnsi="Arial" w:cs="Arial"/>
          <w:lang w:eastAsia="es-MX"/>
        </w:rPr>
        <w:t xml:space="preserve"> sujeto obligado </w:t>
      </w:r>
      <w:r w:rsidR="0047523D" w:rsidRPr="0047523D">
        <w:rPr>
          <w:rFonts w:ascii="Arial" w:hAnsi="Arial" w:cs="Arial"/>
          <w:lang w:eastAsia="es-MX"/>
        </w:rPr>
        <w:t xml:space="preserve">omitió </w:t>
      </w:r>
      <w:r w:rsidR="001D0CBD">
        <w:rPr>
          <w:rFonts w:ascii="Arial" w:hAnsi="Arial" w:cs="Arial"/>
          <w:lang w:eastAsia="es-MX"/>
        </w:rPr>
        <w:t xml:space="preserve">responder </w:t>
      </w:r>
      <w:r w:rsidR="0047523D" w:rsidRPr="0047523D">
        <w:rPr>
          <w:rFonts w:ascii="Arial" w:hAnsi="Arial" w:cs="Arial"/>
          <w:lang w:eastAsia="es-MX"/>
        </w:rPr>
        <w:t>a la solicitud</w:t>
      </w:r>
      <w:r>
        <w:rPr>
          <w:rFonts w:ascii="Arial" w:hAnsi="Arial" w:cs="Arial"/>
          <w:lang w:eastAsia="es-MX"/>
        </w:rPr>
        <w:t xml:space="preserve">, </w:t>
      </w:r>
      <w:r w:rsidR="001D0CBD">
        <w:rPr>
          <w:rFonts w:ascii="Arial" w:hAnsi="Arial" w:cs="Arial"/>
          <w:lang w:eastAsia="es-MX"/>
        </w:rPr>
        <w:t xml:space="preserve">mientras </w:t>
      </w:r>
      <w:r>
        <w:rPr>
          <w:rFonts w:ascii="Arial" w:hAnsi="Arial" w:cs="Arial"/>
          <w:lang w:eastAsia="es-MX"/>
        </w:rPr>
        <w:t xml:space="preserve">se analizaba este medio de impugnación, </w:t>
      </w:r>
      <w:r w:rsidR="00AD3D44">
        <w:rPr>
          <w:rFonts w:ascii="Arial" w:hAnsi="Arial" w:cs="Arial"/>
          <w:lang w:eastAsia="es-MX"/>
        </w:rPr>
        <w:t xml:space="preserve">el titular de la Unidad de Transparencia </w:t>
      </w:r>
      <w:r w:rsidR="001D0CBD">
        <w:rPr>
          <w:rFonts w:ascii="Arial" w:hAnsi="Arial" w:cs="Arial"/>
          <w:lang w:eastAsia="es-MX"/>
        </w:rPr>
        <w:t xml:space="preserve">del Ayuntamiento </w:t>
      </w:r>
      <w:r>
        <w:rPr>
          <w:rFonts w:ascii="Arial" w:hAnsi="Arial" w:cs="Arial"/>
          <w:lang w:eastAsia="es-MX"/>
        </w:rPr>
        <w:t xml:space="preserve">remitió al IVAI prueba de que </w:t>
      </w:r>
      <w:r w:rsidRPr="00490A92">
        <w:rPr>
          <w:rFonts w:ascii="Arial" w:hAnsi="Arial" w:cs="Arial"/>
          <w:lang w:eastAsia="es-MX"/>
        </w:rPr>
        <w:t xml:space="preserve">realizó el trámite </w:t>
      </w:r>
      <w:r>
        <w:rPr>
          <w:rFonts w:ascii="Arial" w:hAnsi="Arial" w:cs="Arial"/>
          <w:lang w:eastAsia="es-MX"/>
        </w:rPr>
        <w:t xml:space="preserve">interno para obtener la información en tiempo </w:t>
      </w:r>
      <w:r w:rsidR="0038587A">
        <w:rPr>
          <w:rFonts w:ascii="Arial" w:hAnsi="Arial" w:cs="Arial"/>
          <w:lang w:eastAsia="es-MX"/>
        </w:rPr>
        <w:t xml:space="preserve">ante el </w:t>
      </w:r>
      <w:r w:rsidR="00AD3D44" w:rsidRPr="00AD3D44">
        <w:rPr>
          <w:rFonts w:ascii="Arial" w:hAnsi="Arial" w:cs="Arial"/>
          <w:lang w:eastAsia="es-MX"/>
        </w:rPr>
        <w:t>área con atribuciones para pronunciarse</w:t>
      </w:r>
      <w:r w:rsidR="0038587A">
        <w:rPr>
          <w:rFonts w:ascii="Arial" w:hAnsi="Arial" w:cs="Arial"/>
          <w:lang w:eastAsia="es-MX"/>
        </w:rPr>
        <w:t>; pero p</w:t>
      </w:r>
      <w:r>
        <w:rPr>
          <w:rFonts w:ascii="Arial" w:hAnsi="Arial" w:cs="Arial"/>
          <w:lang w:eastAsia="es-MX"/>
        </w:rPr>
        <w:t>recisó</w:t>
      </w:r>
      <w:r w:rsidR="00AD3D44">
        <w:rPr>
          <w:rFonts w:ascii="Arial" w:hAnsi="Arial" w:cs="Arial"/>
          <w:lang w:eastAsia="es-MX"/>
        </w:rPr>
        <w:t xml:space="preserve"> </w:t>
      </w:r>
      <w:r>
        <w:rPr>
          <w:rFonts w:ascii="Arial" w:hAnsi="Arial" w:cs="Arial"/>
          <w:lang w:eastAsia="es-MX"/>
        </w:rPr>
        <w:t xml:space="preserve">que </w:t>
      </w:r>
      <w:r w:rsidRPr="00490A92">
        <w:rPr>
          <w:rFonts w:ascii="Arial" w:hAnsi="Arial" w:cs="Arial"/>
          <w:lang w:eastAsia="es-MX"/>
        </w:rPr>
        <w:t xml:space="preserve">existió imposibilidad </w:t>
      </w:r>
      <w:r>
        <w:rPr>
          <w:rFonts w:ascii="Arial" w:hAnsi="Arial" w:cs="Arial"/>
          <w:lang w:eastAsia="es-MX"/>
        </w:rPr>
        <w:t>para</w:t>
      </w:r>
      <w:r w:rsidRPr="00490A92">
        <w:rPr>
          <w:rFonts w:ascii="Arial" w:hAnsi="Arial" w:cs="Arial"/>
          <w:lang w:eastAsia="es-MX"/>
        </w:rPr>
        <w:t xml:space="preserve"> entregar la respuesta </w:t>
      </w:r>
      <w:r>
        <w:rPr>
          <w:rFonts w:ascii="Arial" w:hAnsi="Arial" w:cs="Arial"/>
          <w:lang w:eastAsia="es-MX"/>
        </w:rPr>
        <w:t xml:space="preserve">ya que </w:t>
      </w:r>
      <w:r w:rsidRPr="00490A92">
        <w:rPr>
          <w:rFonts w:ascii="Arial" w:hAnsi="Arial" w:cs="Arial"/>
          <w:lang w:eastAsia="es-MX"/>
        </w:rPr>
        <w:t xml:space="preserve">fueron tomadas </w:t>
      </w:r>
      <w:r>
        <w:rPr>
          <w:rFonts w:ascii="Arial" w:hAnsi="Arial" w:cs="Arial"/>
          <w:lang w:eastAsia="es-MX"/>
        </w:rPr>
        <w:t>sus instalaciones.</w:t>
      </w:r>
      <w:r w:rsidR="0038587A">
        <w:rPr>
          <w:rFonts w:ascii="Arial" w:hAnsi="Arial" w:cs="Arial"/>
          <w:lang w:eastAsia="es-MX"/>
        </w:rPr>
        <w:t xml:space="preserve"> </w:t>
      </w:r>
      <w:r w:rsidR="00FA5C7A">
        <w:rPr>
          <w:rFonts w:ascii="Arial" w:hAnsi="Arial" w:cs="Arial"/>
          <w:lang w:eastAsia="es-MX"/>
        </w:rPr>
        <w:t xml:space="preserve">Situación que el órgano garante constató de la revisión de </w:t>
      </w:r>
      <w:r w:rsidR="00FA5C7A" w:rsidRPr="00FA5C7A">
        <w:rPr>
          <w:rFonts w:ascii="Arial" w:hAnsi="Arial" w:cs="Arial"/>
          <w:lang w:eastAsia="es-MX"/>
        </w:rPr>
        <w:t>notas periodistas</w:t>
      </w:r>
      <w:r w:rsidR="00FA5C7A">
        <w:rPr>
          <w:rFonts w:ascii="Arial" w:hAnsi="Arial" w:cs="Arial"/>
          <w:lang w:eastAsia="es-MX"/>
        </w:rPr>
        <w:t xml:space="preserve"> y de la</w:t>
      </w:r>
      <w:r w:rsidR="00FA5C7A" w:rsidRPr="00FA5C7A">
        <w:rPr>
          <w:rFonts w:ascii="Arial" w:hAnsi="Arial" w:cs="Arial"/>
          <w:lang w:eastAsia="es-MX"/>
        </w:rPr>
        <w:t xml:space="preserve"> red social </w:t>
      </w:r>
      <w:r w:rsidR="00FA5C7A" w:rsidRPr="00FA5C7A">
        <w:rPr>
          <w:rFonts w:ascii="Arial" w:hAnsi="Arial" w:cs="Arial"/>
          <w:i/>
          <w:lang w:eastAsia="es-MX"/>
        </w:rPr>
        <w:t>Twitter</w:t>
      </w:r>
      <w:r w:rsidR="00FA5C7A" w:rsidRPr="00FA5C7A">
        <w:rPr>
          <w:rFonts w:ascii="Arial" w:hAnsi="Arial" w:cs="Arial"/>
          <w:lang w:eastAsia="es-MX"/>
        </w:rPr>
        <w:t xml:space="preserve"> del Congreso</w:t>
      </w:r>
      <w:r w:rsidR="001D0CBD">
        <w:rPr>
          <w:rFonts w:ascii="Arial" w:hAnsi="Arial" w:cs="Arial"/>
          <w:lang w:eastAsia="es-MX"/>
        </w:rPr>
        <w:t>,</w:t>
      </w:r>
      <w:r w:rsidR="00FA5C7A" w:rsidRPr="00FA5C7A">
        <w:rPr>
          <w:rFonts w:ascii="Arial" w:hAnsi="Arial" w:cs="Arial"/>
          <w:lang w:eastAsia="es-MX"/>
        </w:rPr>
        <w:t xml:space="preserve"> </w:t>
      </w:r>
      <w:r w:rsidR="00FA5C7A">
        <w:rPr>
          <w:rFonts w:ascii="Arial" w:hAnsi="Arial" w:cs="Arial"/>
          <w:lang w:eastAsia="es-MX"/>
        </w:rPr>
        <w:t xml:space="preserve">donde se dio a conocer este </w:t>
      </w:r>
      <w:r w:rsidR="00FA5C7A" w:rsidRPr="00FA5C7A">
        <w:rPr>
          <w:rFonts w:ascii="Arial" w:hAnsi="Arial" w:cs="Arial"/>
          <w:lang w:eastAsia="es-MX"/>
        </w:rPr>
        <w:t xml:space="preserve">hecho </w:t>
      </w:r>
      <w:r w:rsidR="00826503">
        <w:rPr>
          <w:rFonts w:ascii="Arial" w:hAnsi="Arial" w:cs="Arial"/>
          <w:lang w:eastAsia="es-MX"/>
        </w:rPr>
        <w:t>que, por tanto, se consider</w:t>
      </w:r>
      <w:r w:rsidR="0038587A">
        <w:rPr>
          <w:rFonts w:ascii="Arial" w:hAnsi="Arial" w:cs="Arial"/>
          <w:lang w:eastAsia="es-MX"/>
        </w:rPr>
        <w:t>ó</w:t>
      </w:r>
      <w:r w:rsidR="00826503">
        <w:rPr>
          <w:rFonts w:ascii="Arial" w:hAnsi="Arial" w:cs="Arial"/>
          <w:lang w:eastAsia="es-MX"/>
        </w:rPr>
        <w:t xml:space="preserve"> </w:t>
      </w:r>
      <w:r w:rsidR="00BC6A70">
        <w:rPr>
          <w:rFonts w:ascii="Arial" w:hAnsi="Arial" w:cs="Arial"/>
          <w:lang w:eastAsia="es-MX"/>
        </w:rPr>
        <w:t>evidente</w:t>
      </w:r>
      <w:r w:rsidR="00826503">
        <w:rPr>
          <w:rFonts w:ascii="Arial" w:hAnsi="Arial" w:cs="Arial"/>
          <w:lang w:eastAsia="es-MX"/>
        </w:rPr>
        <w:t>.</w:t>
      </w:r>
    </w:p>
    <w:p w:rsidR="00FA5C7A" w:rsidRDefault="00FA5C7A" w:rsidP="009E7898">
      <w:pPr>
        <w:rPr>
          <w:rFonts w:ascii="Arial" w:hAnsi="Arial" w:cs="Arial"/>
          <w:lang w:eastAsia="es-MX"/>
        </w:rPr>
      </w:pPr>
    </w:p>
    <w:p w:rsidR="007D5F54" w:rsidRDefault="007D5F54" w:rsidP="008C26CC">
      <w:pPr>
        <w:rPr>
          <w:rFonts w:ascii="Arial" w:hAnsi="Arial" w:cs="Arial"/>
          <w:lang w:eastAsia="es-MX"/>
        </w:rPr>
      </w:pPr>
      <w:r>
        <w:rPr>
          <w:rFonts w:ascii="Arial" w:hAnsi="Arial" w:cs="Arial"/>
          <w:lang w:eastAsia="es-MX"/>
        </w:rPr>
        <w:t xml:space="preserve">Es por ello que los comisionados Yolli García Alvarez, José Rubén Mendoza Hernández y Arturo Mariscal Rodríguez valoraron que existían </w:t>
      </w:r>
      <w:r w:rsidRPr="007D5F54">
        <w:rPr>
          <w:rFonts w:ascii="Arial" w:hAnsi="Arial" w:cs="Arial"/>
          <w:lang w:eastAsia="es-MX"/>
        </w:rPr>
        <w:t xml:space="preserve">elementos para </w:t>
      </w:r>
      <w:r>
        <w:rPr>
          <w:rFonts w:ascii="Arial" w:hAnsi="Arial" w:cs="Arial"/>
          <w:lang w:eastAsia="es-MX"/>
        </w:rPr>
        <w:t xml:space="preserve">considerar </w:t>
      </w:r>
      <w:r w:rsidRPr="007D5F54">
        <w:rPr>
          <w:rFonts w:ascii="Arial" w:hAnsi="Arial" w:cs="Arial"/>
          <w:lang w:eastAsia="es-MX"/>
        </w:rPr>
        <w:t xml:space="preserve">que el incumplimiento </w:t>
      </w:r>
      <w:r>
        <w:rPr>
          <w:rFonts w:ascii="Arial" w:hAnsi="Arial" w:cs="Arial"/>
          <w:lang w:eastAsia="es-MX"/>
        </w:rPr>
        <w:t xml:space="preserve">era </w:t>
      </w:r>
      <w:r w:rsidRPr="007D5F54">
        <w:rPr>
          <w:rFonts w:ascii="Arial" w:hAnsi="Arial" w:cs="Arial"/>
          <w:lang w:eastAsia="es-MX"/>
        </w:rPr>
        <w:t>excusable</w:t>
      </w:r>
      <w:r w:rsidR="001D0CBD">
        <w:rPr>
          <w:rFonts w:ascii="Arial" w:hAnsi="Arial" w:cs="Arial"/>
          <w:lang w:eastAsia="es-MX"/>
        </w:rPr>
        <w:t>,</w:t>
      </w:r>
      <w:r w:rsidRPr="007D5F54">
        <w:rPr>
          <w:rFonts w:ascii="Arial" w:hAnsi="Arial" w:cs="Arial"/>
          <w:lang w:eastAsia="es-MX"/>
        </w:rPr>
        <w:t xml:space="preserve"> </w:t>
      </w:r>
      <w:r w:rsidR="00783C30">
        <w:rPr>
          <w:rFonts w:ascii="Arial" w:hAnsi="Arial" w:cs="Arial"/>
          <w:lang w:eastAsia="es-MX"/>
        </w:rPr>
        <w:t>pues e</w:t>
      </w:r>
      <w:r w:rsidR="00783C30" w:rsidRPr="00783C30">
        <w:rPr>
          <w:rFonts w:ascii="Arial" w:hAnsi="Arial" w:cs="Arial"/>
          <w:lang w:eastAsia="es-MX"/>
        </w:rPr>
        <w:t xml:space="preserve">l caso fortuito y la fuerza mayor </w:t>
      </w:r>
      <w:r w:rsidR="00783C30">
        <w:rPr>
          <w:rFonts w:ascii="Arial" w:hAnsi="Arial" w:cs="Arial"/>
          <w:lang w:eastAsia="es-MX"/>
        </w:rPr>
        <w:t>son</w:t>
      </w:r>
      <w:r w:rsidR="00783C30" w:rsidRPr="00783C30">
        <w:rPr>
          <w:rFonts w:ascii="Arial" w:hAnsi="Arial" w:cs="Arial"/>
          <w:lang w:eastAsia="es-MX"/>
        </w:rPr>
        <w:t xml:space="preserve"> causas </w:t>
      </w:r>
      <w:r w:rsidR="00783C30">
        <w:rPr>
          <w:rFonts w:ascii="Arial" w:hAnsi="Arial" w:cs="Arial"/>
          <w:lang w:eastAsia="es-MX"/>
        </w:rPr>
        <w:t>que eximen</w:t>
      </w:r>
      <w:r w:rsidR="00783C30" w:rsidRPr="00783C30">
        <w:rPr>
          <w:rFonts w:ascii="Arial" w:hAnsi="Arial" w:cs="Arial"/>
          <w:lang w:eastAsia="es-MX"/>
        </w:rPr>
        <w:t xml:space="preserve"> de la responsabilidad administrativa.</w:t>
      </w:r>
    </w:p>
    <w:p w:rsidR="007D5F54" w:rsidRDefault="007D5F54" w:rsidP="008C26CC">
      <w:pPr>
        <w:rPr>
          <w:rFonts w:ascii="Arial" w:hAnsi="Arial" w:cs="Arial"/>
          <w:lang w:eastAsia="es-MX"/>
        </w:rPr>
      </w:pPr>
    </w:p>
    <w:p w:rsidR="00FE5328" w:rsidRDefault="001D0CBD" w:rsidP="008C26CC">
      <w:pPr>
        <w:rPr>
          <w:rFonts w:ascii="Arial" w:hAnsi="Arial" w:cs="Arial"/>
          <w:lang w:eastAsia="es-MX"/>
        </w:rPr>
      </w:pPr>
      <w:r>
        <w:rPr>
          <w:rFonts w:ascii="Arial" w:hAnsi="Arial" w:cs="Arial"/>
          <w:lang w:eastAsia="es-MX"/>
        </w:rPr>
        <w:t>E</w:t>
      </w:r>
      <w:r w:rsidR="00FE5328">
        <w:rPr>
          <w:rFonts w:ascii="Arial" w:hAnsi="Arial" w:cs="Arial"/>
          <w:lang w:eastAsia="es-MX"/>
        </w:rPr>
        <w:t xml:space="preserve">l Poder Legislativo remitió </w:t>
      </w:r>
      <w:r>
        <w:rPr>
          <w:rFonts w:ascii="Arial" w:hAnsi="Arial" w:cs="Arial"/>
          <w:lang w:eastAsia="es-MX"/>
        </w:rPr>
        <w:t xml:space="preserve">al IVAI </w:t>
      </w:r>
      <w:r w:rsidR="00FE5328">
        <w:rPr>
          <w:rFonts w:ascii="Arial" w:hAnsi="Arial" w:cs="Arial"/>
          <w:lang w:eastAsia="es-MX"/>
        </w:rPr>
        <w:t>e</w:t>
      </w:r>
      <w:r w:rsidR="00FE5328" w:rsidRPr="00FE5328">
        <w:rPr>
          <w:rFonts w:ascii="Arial" w:hAnsi="Arial" w:cs="Arial"/>
          <w:lang w:eastAsia="es-MX"/>
        </w:rPr>
        <w:t>l Plan Municipal</w:t>
      </w:r>
      <w:r w:rsidR="00FE5328">
        <w:rPr>
          <w:rFonts w:ascii="Arial" w:hAnsi="Arial" w:cs="Arial"/>
          <w:lang w:eastAsia="es-MX"/>
        </w:rPr>
        <w:t xml:space="preserve"> de Desarrollo solicitado </w:t>
      </w:r>
      <w:r w:rsidR="00E532CA">
        <w:rPr>
          <w:rFonts w:ascii="Arial" w:hAnsi="Arial" w:cs="Arial"/>
          <w:lang w:eastAsia="es-MX"/>
        </w:rPr>
        <w:t xml:space="preserve">e informó que no contaba con </w:t>
      </w:r>
      <w:r w:rsidR="00E532CA" w:rsidRPr="00E532CA">
        <w:rPr>
          <w:rFonts w:ascii="Arial" w:hAnsi="Arial" w:cs="Arial"/>
          <w:lang w:eastAsia="es-MX"/>
        </w:rPr>
        <w:t>el informe de gestión</w:t>
      </w:r>
      <w:r>
        <w:rPr>
          <w:rFonts w:ascii="Arial" w:hAnsi="Arial" w:cs="Arial"/>
          <w:lang w:eastAsia="es-MX"/>
        </w:rPr>
        <w:t>,</w:t>
      </w:r>
      <w:r w:rsidR="00E532CA" w:rsidRPr="00E532CA">
        <w:rPr>
          <w:rFonts w:ascii="Arial" w:hAnsi="Arial" w:cs="Arial"/>
          <w:lang w:eastAsia="es-MX"/>
        </w:rPr>
        <w:t xml:space="preserve"> orientando </w:t>
      </w:r>
      <w:r w:rsidR="00E532CA">
        <w:rPr>
          <w:rFonts w:ascii="Arial" w:hAnsi="Arial" w:cs="Arial"/>
          <w:lang w:eastAsia="es-MX"/>
        </w:rPr>
        <w:t xml:space="preserve">a que se </w:t>
      </w:r>
      <w:r w:rsidR="00FE2FBD">
        <w:rPr>
          <w:rFonts w:ascii="Arial" w:hAnsi="Arial" w:cs="Arial"/>
          <w:lang w:eastAsia="es-MX"/>
        </w:rPr>
        <w:t>solicita</w:t>
      </w:r>
      <w:r w:rsidR="003D6C1D">
        <w:rPr>
          <w:rFonts w:ascii="Arial" w:hAnsi="Arial" w:cs="Arial"/>
          <w:lang w:eastAsia="es-MX"/>
        </w:rPr>
        <w:t>ra ante el propio Ayuntamiento</w:t>
      </w:r>
      <w:r>
        <w:rPr>
          <w:rFonts w:ascii="Arial" w:hAnsi="Arial" w:cs="Arial"/>
          <w:lang w:eastAsia="es-MX"/>
        </w:rPr>
        <w:t xml:space="preserve">, lo que el </w:t>
      </w:r>
      <w:r w:rsidR="003D6C1D">
        <w:rPr>
          <w:rFonts w:ascii="Arial" w:hAnsi="Arial" w:cs="Arial"/>
          <w:lang w:eastAsia="es-MX"/>
        </w:rPr>
        <w:t>Instituto consideró adecuado</w:t>
      </w:r>
      <w:r>
        <w:rPr>
          <w:rFonts w:ascii="Arial" w:hAnsi="Arial" w:cs="Arial"/>
          <w:lang w:eastAsia="es-MX"/>
        </w:rPr>
        <w:t>,</w:t>
      </w:r>
      <w:r w:rsidR="003D6C1D">
        <w:rPr>
          <w:rFonts w:ascii="Arial" w:hAnsi="Arial" w:cs="Arial"/>
          <w:lang w:eastAsia="es-MX"/>
        </w:rPr>
        <w:t xml:space="preserve"> </w:t>
      </w:r>
      <w:r>
        <w:rPr>
          <w:rFonts w:ascii="Arial" w:hAnsi="Arial" w:cs="Arial"/>
          <w:lang w:eastAsia="es-MX"/>
        </w:rPr>
        <w:t xml:space="preserve">toda vez </w:t>
      </w:r>
      <w:r w:rsidR="003D6C1D">
        <w:rPr>
          <w:rFonts w:ascii="Arial" w:hAnsi="Arial" w:cs="Arial"/>
          <w:lang w:eastAsia="es-MX"/>
        </w:rPr>
        <w:t>que el Congreso</w:t>
      </w:r>
      <w:r w:rsidR="003D6C1D" w:rsidRPr="003D6C1D">
        <w:rPr>
          <w:rFonts w:ascii="Arial" w:hAnsi="Arial" w:cs="Arial"/>
          <w:lang w:eastAsia="es-MX"/>
        </w:rPr>
        <w:t xml:space="preserve"> no </w:t>
      </w:r>
      <w:r w:rsidR="003D6C1D">
        <w:rPr>
          <w:rFonts w:ascii="Arial" w:hAnsi="Arial" w:cs="Arial"/>
          <w:lang w:eastAsia="es-MX"/>
        </w:rPr>
        <w:t xml:space="preserve">está obligado a </w:t>
      </w:r>
      <w:r w:rsidR="003D6C1D" w:rsidRPr="003D6C1D">
        <w:rPr>
          <w:rFonts w:ascii="Arial" w:hAnsi="Arial" w:cs="Arial"/>
          <w:lang w:eastAsia="es-MX"/>
        </w:rPr>
        <w:t xml:space="preserve">contar con </w:t>
      </w:r>
      <w:r w:rsidR="003D6C1D">
        <w:rPr>
          <w:rFonts w:ascii="Arial" w:hAnsi="Arial" w:cs="Arial"/>
          <w:lang w:eastAsia="es-MX"/>
        </w:rPr>
        <w:t xml:space="preserve">esta </w:t>
      </w:r>
      <w:r w:rsidR="003D6C1D" w:rsidRPr="003D6C1D">
        <w:rPr>
          <w:rFonts w:ascii="Arial" w:hAnsi="Arial" w:cs="Arial"/>
          <w:lang w:eastAsia="es-MX"/>
        </w:rPr>
        <w:t>información</w:t>
      </w:r>
      <w:r w:rsidR="003D6C1D">
        <w:rPr>
          <w:rFonts w:ascii="Arial" w:hAnsi="Arial" w:cs="Arial"/>
          <w:lang w:eastAsia="es-MX"/>
        </w:rPr>
        <w:t>.</w:t>
      </w:r>
    </w:p>
    <w:p w:rsidR="00C36AD0" w:rsidRDefault="00C36AD0" w:rsidP="008C26CC">
      <w:pPr>
        <w:rPr>
          <w:rFonts w:ascii="Arial" w:hAnsi="Arial" w:cs="Arial"/>
          <w:lang w:eastAsia="es-MX"/>
        </w:rPr>
      </w:pPr>
    </w:p>
    <w:p w:rsidR="00863E45" w:rsidRDefault="00C36AD0" w:rsidP="008C26CC">
      <w:pPr>
        <w:rPr>
          <w:rFonts w:ascii="Arial" w:hAnsi="Arial" w:cs="Arial"/>
          <w:lang w:eastAsia="es-MX"/>
        </w:rPr>
      </w:pPr>
      <w:r>
        <w:rPr>
          <w:rFonts w:ascii="Arial" w:hAnsi="Arial" w:cs="Arial"/>
          <w:lang w:eastAsia="es-MX"/>
        </w:rPr>
        <w:t xml:space="preserve">Por otro lado, el </w:t>
      </w:r>
      <w:r w:rsidR="001D0CBD">
        <w:rPr>
          <w:rFonts w:ascii="Arial" w:hAnsi="Arial" w:cs="Arial"/>
          <w:lang w:eastAsia="es-MX"/>
        </w:rPr>
        <w:t xml:space="preserve">órgano de transparencia </w:t>
      </w:r>
      <w:r>
        <w:rPr>
          <w:rFonts w:ascii="Arial" w:hAnsi="Arial" w:cs="Arial"/>
          <w:lang w:eastAsia="es-MX"/>
        </w:rPr>
        <w:t xml:space="preserve">resolvió el recurso de revisión </w:t>
      </w:r>
      <w:r w:rsidRPr="00C36AD0">
        <w:rPr>
          <w:rFonts w:ascii="Arial" w:hAnsi="Arial" w:cs="Arial"/>
          <w:lang w:eastAsia="es-MX"/>
        </w:rPr>
        <w:t>IVAI-REV/4005/2018/II</w:t>
      </w:r>
      <w:r>
        <w:rPr>
          <w:rFonts w:ascii="Arial" w:hAnsi="Arial" w:cs="Arial"/>
          <w:lang w:eastAsia="es-MX"/>
        </w:rPr>
        <w:t xml:space="preserve"> </w:t>
      </w:r>
      <w:r w:rsidR="00863E45">
        <w:rPr>
          <w:rFonts w:ascii="Arial" w:hAnsi="Arial" w:cs="Arial"/>
          <w:lang w:eastAsia="es-MX"/>
        </w:rPr>
        <w:t xml:space="preserve">en el que los comisionados revocaron la respuesta del </w:t>
      </w:r>
      <w:r w:rsidR="00863E45" w:rsidRPr="00C36AD0">
        <w:rPr>
          <w:rFonts w:ascii="Arial" w:hAnsi="Arial" w:cs="Arial"/>
          <w:lang w:eastAsia="es-MX"/>
        </w:rPr>
        <w:t>Ayuntamiento de Cuitláhuac</w:t>
      </w:r>
      <w:r w:rsidR="00863E45">
        <w:rPr>
          <w:rFonts w:ascii="Arial" w:hAnsi="Arial" w:cs="Arial"/>
          <w:lang w:eastAsia="es-MX"/>
        </w:rPr>
        <w:t xml:space="preserve"> y le ordenaron proporcionar a quien se lo solicitó todas las </w:t>
      </w:r>
      <w:r w:rsidR="00863E45" w:rsidRPr="00863E45">
        <w:rPr>
          <w:rFonts w:ascii="Arial" w:hAnsi="Arial" w:cs="Arial"/>
          <w:lang w:eastAsia="es-MX"/>
        </w:rPr>
        <w:t>estadísticas que se generan de acuerdo a sus funciones.</w:t>
      </w:r>
      <w:r w:rsidR="00863E45">
        <w:rPr>
          <w:rFonts w:ascii="Arial" w:hAnsi="Arial" w:cs="Arial"/>
          <w:lang w:eastAsia="es-MX"/>
        </w:rPr>
        <w:t xml:space="preserve"> Esto, en virtud de que </w:t>
      </w:r>
      <w:r w:rsidR="00863E45" w:rsidRPr="00863E45">
        <w:rPr>
          <w:rFonts w:ascii="Arial" w:hAnsi="Arial" w:cs="Arial"/>
          <w:lang w:eastAsia="es-MX"/>
        </w:rPr>
        <w:t xml:space="preserve">el </w:t>
      </w:r>
      <w:r w:rsidR="00863E45">
        <w:rPr>
          <w:rFonts w:ascii="Arial" w:hAnsi="Arial" w:cs="Arial"/>
          <w:lang w:eastAsia="es-MX"/>
        </w:rPr>
        <w:t>t</w:t>
      </w:r>
      <w:r w:rsidR="00863E45" w:rsidRPr="00863E45">
        <w:rPr>
          <w:rFonts w:ascii="Arial" w:hAnsi="Arial" w:cs="Arial"/>
          <w:lang w:eastAsia="es-MX"/>
        </w:rPr>
        <w:t xml:space="preserve">itular de la Unidad de Transparencia </w:t>
      </w:r>
      <w:r w:rsidR="00863E45">
        <w:rPr>
          <w:rFonts w:ascii="Arial" w:hAnsi="Arial" w:cs="Arial"/>
          <w:lang w:eastAsia="es-MX"/>
        </w:rPr>
        <w:t>argumentó</w:t>
      </w:r>
      <w:r w:rsidR="00863E45" w:rsidRPr="00863E45">
        <w:rPr>
          <w:rFonts w:ascii="Arial" w:hAnsi="Arial" w:cs="Arial"/>
          <w:lang w:eastAsia="es-MX"/>
        </w:rPr>
        <w:t xml:space="preserve"> que </w:t>
      </w:r>
      <w:r w:rsidR="006F4114">
        <w:rPr>
          <w:rFonts w:ascii="Arial" w:hAnsi="Arial" w:cs="Arial"/>
          <w:lang w:eastAsia="es-MX"/>
        </w:rPr>
        <w:t xml:space="preserve">en la </w:t>
      </w:r>
      <w:r w:rsidR="00863E45" w:rsidRPr="00863E45">
        <w:rPr>
          <w:rFonts w:ascii="Arial" w:hAnsi="Arial" w:cs="Arial"/>
          <w:lang w:eastAsia="es-MX"/>
        </w:rPr>
        <w:t>solicitud no</w:t>
      </w:r>
      <w:r w:rsidR="006F4114">
        <w:rPr>
          <w:rFonts w:ascii="Arial" w:hAnsi="Arial" w:cs="Arial"/>
          <w:lang w:eastAsia="es-MX"/>
        </w:rPr>
        <w:t xml:space="preserve"> se especifica</w:t>
      </w:r>
      <w:r w:rsidR="001D0CBD">
        <w:rPr>
          <w:rFonts w:ascii="Arial" w:hAnsi="Arial" w:cs="Arial"/>
          <w:lang w:eastAsia="es-MX"/>
        </w:rPr>
        <w:t>ba</w:t>
      </w:r>
      <w:r w:rsidR="006F4114">
        <w:rPr>
          <w:rFonts w:ascii="Arial" w:hAnsi="Arial" w:cs="Arial"/>
          <w:lang w:eastAsia="es-MX"/>
        </w:rPr>
        <w:t xml:space="preserve"> qué estadísticas </w:t>
      </w:r>
      <w:r w:rsidR="001D0CBD">
        <w:rPr>
          <w:rFonts w:ascii="Arial" w:hAnsi="Arial" w:cs="Arial"/>
          <w:lang w:eastAsia="es-MX"/>
        </w:rPr>
        <w:t>se requerían</w:t>
      </w:r>
      <w:r w:rsidR="006F4114">
        <w:rPr>
          <w:rFonts w:ascii="Arial" w:hAnsi="Arial" w:cs="Arial"/>
          <w:lang w:eastAsia="es-MX"/>
        </w:rPr>
        <w:t xml:space="preserve"> y de qué departamento. </w:t>
      </w:r>
    </w:p>
    <w:p w:rsidR="00170504" w:rsidRDefault="00170504" w:rsidP="008C26CC">
      <w:pPr>
        <w:rPr>
          <w:rFonts w:ascii="Arial" w:hAnsi="Arial" w:cs="Arial"/>
          <w:lang w:eastAsia="es-MX"/>
        </w:rPr>
      </w:pPr>
    </w:p>
    <w:p w:rsidR="001D0CBD" w:rsidRDefault="001D0CBD" w:rsidP="008C26CC">
      <w:pPr>
        <w:rPr>
          <w:rFonts w:ascii="Arial" w:hAnsi="Arial" w:cs="Arial"/>
          <w:lang w:eastAsia="es-MX"/>
        </w:rPr>
      </w:pPr>
    </w:p>
    <w:p w:rsidR="00863E45" w:rsidRDefault="00863E45" w:rsidP="008C26CC">
      <w:pPr>
        <w:rPr>
          <w:rFonts w:ascii="Arial" w:hAnsi="Arial" w:cs="Arial"/>
          <w:lang w:eastAsia="es-MX"/>
        </w:rPr>
      </w:pPr>
      <w:r>
        <w:rPr>
          <w:rFonts w:ascii="Arial" w:hAnsi="Arial" w:cs="Arial"/>
          <w:lang w:eastAsia="es-MX"/>
        </w:rPr>
        <w:lastRenderedPageBreak/>
        <w:t xml:space="preserve">Esta </w:t>
      </w:r>
      <w:r w:rsidRPr="00863E45">
        <w:rPr>
          <w:rFonts w:ascii="Arial" w:hAnsi="Arial" w:cs="Arial"/>
          <w:lang w:eastAsia="es-MX"/>
        </w:rPr>
        <w:t xml:space="preserve">manifestación vulneró el derecho </w:t>
      </w:r>
      <w:r>
        <w:rPr>
          <w:rFonts w:ascii="Arial" w:hAnsi="Arial" w:cs="Arial"/>
          <w:lang w:eastAsia="es-MX"/>
        </w:rPr>
        <w:t>de acceso del peticionario</w:t>
      </w:r>
      <w:r w:rsidR="001D0CBD">
        <w:rPr>
          <w:rFonts w:ascii="Arial" w:hAnsi="Arial" w:cs="Arial"/>
          <w:lang w:eastAsia="es-MX"/>
        </w:rPr>
        <w:t>,</w:t>
      </w:r>
      <w:r>
        <w:rPr>
          <w:rFonts w:ascii="Arial" w:hAnsi="Arial" w:cs="Arial"/>
          <w:lang w:eastAsia="es-MX"/>
        </w:rPr>
        <w:t xml:space="preserve"> </w:t>
      </w:r>
      <w:r w:rsidR="001D0CBD">
        <w:rPr>
          <w:rFonts w:ascii="Arial" w:hAnsi="Arial" w:cs="Arial"/>
          <w:lang w:eastAsia="es-MX"/>
        </w:rPr>
        <w:t xml:space="preserve">pues </w:t>
      </w:r>
      <w:r w:rsidRPr="00863E45">
        <w:rPr>
          <w:rFonts w:ascii="Arial" w:hAnsi="Arial" w:cs="Arial"/>
          <w:lang w:eastAsia="es-MX"/>
        </w:rPr>
        <w:t xml:space="preserve">lo </w:t>
      </w:r>
      <w:r>
        <w:rPr>
          <w:rFonts w:ascii="Arial" w:hAnsi="Arial" w:cs="Arial"/>
          <w:lang w:eastAsia="es-MX"/>
        </w:rPr>
        <w:t xml:space="preserve">que procedía era que se </w:t>
      </w:r>
      <w:r w:rsidRPr="00863E45">
        <w:rPr>
          <w:rFonts w:ascii="Arial" w:hAnsi="Arial" w:cs="Arial"/>
          <w:lang w:eastAsia="es-MX"/>
        </w:rPr>
        <w:t xml:space="preserve">diera trámite a la petición y </w:t>
      </w:r>
      <w:r>
        <w:rPr>
          <w:rFonts w:ascii="Arial" w:hAnsi="Arial" w:cs="Arial"/>
          <w:lang w:eastAsia="es-MX"/>
        </w:rPr>
        <w:t xml:space="preserve">se </w:t>
      </w:r>
      <w:r w:rsidRPr="00863E45">
        <w:rPr>
          <w:rFonts w:ascii="Arial" w:hAnsi="Arial" w:cs="Arial"/>
          <w:lang w:eastAsia="es-MX"/>
        </w:rPr>
        <w:t>requiriera el pronunciamiento de las áreas competentes</w:t>
      </w:r>
      <w:r>
        <w:rPr>
          <w:rFonts w:ascii="Arial" w:hAnsi="Arial" w:cs="Arial"/>
          <w:lang w:eastAsia="es-MX"/>
        </w:rPr>
        <w:t xml:space="preserve">, máxime que el tema corresponde a una </w:t>
      </w:r>
      <w:r w:rsidRPr="00863E45">
        <w:rPr>
          <w:rFonts w:ascii="Arial" w:hAnsi="Arial" w:cs="Arial"/>
          <w:lang w:eastAsia="es-MX"/>
        </w:rPr>
        <w:t>obligación de transparencia</w:t>
      </w:r>
      <w:r>
        <w:rPr>
          <w:rFonts w:ascii="Arial" w:hAnsi="Arial" w:cs="Arial"/>
          <w:lang w:eastAsia="es-MX"/>
        </w:rPr>
        <w:t>;</w:t>
      </w:r>
      <w:r w:rsidRPr="00863E45">
        <w:rPr>
          <w:rFonts w:ascii="Arial" w:hAnsi="Arial" w:cs="Arial"/>
          <w:lang w:eastAsia="es-MX"/>
        </w:rPr>
        <w:t xml:space="preserve"> como mínimo, </w:t>
      </w:r>
      <w:r>
        <w:rPr>
          <w:rFonts w:ascii="Arial" w:hAnsi="Arial" w:cs="Arial"/>
          <w:lang w:eastAsia="es-MX"/>
        </w:rPr>
        <w:t xml:space="preserve">se </w:t>
      </w:r>
      <w:r w:rsidRPr="00863E45">
        <w:rPr>
          <w:rFonts w:ascii="Arial" w:hAnsi="Arial" w:cs="Arial"/>
          <w:lang w:eastAsia="es-MX"/>
        </w:rPr>
        <w:t>debió canalizar la solicitud ante la Tesorería Municipal, el Órgano Interno de Control y la Secretaría del Ayuntamiento, por ser las áreas que</w:t>
      </w:r>
      <w:r>
        <w:rPr>
          <w:rFonts w:ascii="Arial" w:hAnsi="Arial" w:cs="Arial"/>
          <w:lang w:eastAsia="es-MX"/>
        </w:rPr>
        <w:t xml:space="preserve"> están constreñidas </w:t>
      </w:r>
      <w:r w:rsidR="001D0CBD">
        <w:rPr>
          <w:rFonts w:ascii="Arial" w:hAnsi="Arial" w:cs="Arial"/>
          <w:lang w:eastAsia="es-MX"/>
        </w:rPr>
        <w:t xml:space="preserve">a </w:t>
      </w:r>
      <w:r>
        <w:rPr>
          <w:rFonts w:ascii="Arial" w:hAnsi="Arial" w:cs="Arial"/>
          <w:lang w:eastAsia="es-MX"/>
        </w:rPr>
        <w:t>publicar</w:t>
      </w:r>
      <w:r w:rsidR="00C9556E">
        <w:rPr>
          <w:rFonts w:ascii="Arial" w:hAnsi="Arial" w:cs="Arial"/>
          <w:lang w:eastAsia="es-MX"/>
        </w:rPr>
        <w:t xml:space="preserve"> información relacionada.</w:t>
      </w:r>
    </w:p>
    <w:p w:rsidR="00863E45" w:rsidRDefault="00863E45" w:rsidP="008C26CC">
      <w:pPr>
        <w:rPr>
          <w:rFonts w:ascii="Arial" w:hAnsi="Arial" w:cs="Arial"/>
          <w:lang w:eastAsia="es-MX"/>
        </w:rPr>
      </w:pPr>
    </w:p>
    <w:p w:rsidR="00C36AD0" w:rsidRDefault="008274BC" w:rsidP="008C26CC">
      <w:pPr>
        <w:rPr>
          <w:rFonts w:ascii="Arial" w:hAnsi="Arial" w:cs="Arial"/>
          <w:lang w:eastAsia="es-MX"/>
        </w:rPr>
      </w:pPr>
      <w:r>
        <w:rPr>
          <w:rFonts w:ascii="Arial" w:hAnsi="Arial" w:cs="Arial"/>
          <w:lang w:eastAsia="es-MX"/>
        </w:rPr>
        <w:t xml:space="preserve">Los comisionados </w:t>
      </w:r>
      <w:r w:rsidR="00863E45">
        <w:rPr>
          <w:rFonts w:ascii="Arial" w:hAnsi="Arial" w:cs="Arial"/>
          <w:lang w:eastAsia="es-MX"/>
        </w:rPr>
        <w:t>destacaron</w:t>
      </w:r>
      <w:r w:rsidR="006F4114">
        <w:rPr>
          <w:rFonts w:ascii="Arial" w:hAnsi="Arial" w:cs="Arial"/>
          <w:lang w:eastAsia="es-MX"/>
        </w:rPr>
        <w:t xml:space="preserve">, además, </w:t>
      </w:r>
      <w:r w:rsidR="00863E45">
        <w:rPr>
          <w:rFonts w:ascii="Arial" w:hAnsi="Arial" w:cs="Arial"/>
          <w:lang w:eastAsia="es-MX"/>
        </w:rPr>
        <w:t xml:space="preserve">que </w:t>
      </w:r>
      <w:r w:rsidR="00C36AD0" w:rsidRPr="00C36AD0">
        <w:rPr>
          <w:rFonts w:ascii="Arial" w:hAnsi="Arial" w:cs="Arial"/>
          <w:lang w:eastAsia="es-MX"/>
        </w:rPr>
        <w:t xml:space="preserve">en caso de que se solicite información sin que se precise el término temporal deberá entenderse que </w:t>
      </w:r>
      <w:r>
        <w:rPr>
          <w:rFonts w:ascii="Arial" w:hAnsi="Arial" w:cs="Arial"/>
          <w:lang w:eastAsia="es-MX"/>
        </w:rPr>
        <w:t xml:space="preserve">se debe proporcionar </w:t>
      </w:r>
      <w:r w:rsidR="001D0CBD">
        <w:rPr>
          <w:rFonts w:ascii="Arial" w:hAnsi="Arial" w:cs="Arial"/>
          <w:lang w:eastAsia="es-MX"/>
        </w:rPr>
        <w:t xml:space="preserve">la generada </w:t>
      </w:r>
      <w:r w:rsidR="00C36AD0" w:rsidRPr="00C36AD0">
        <w:rPr>
          <w:rFonts w:ascii="Arial" w:hAnsi="Arial" w:cs="Arial"/>
          <w:lang w:eastAsia="es-MX"/>
        </w:rPr>
        <w:t xml:space="preserve">y </w:t>
      </w:r>
      <w:r w:rsidR="001D0CBD">
        <w:rPr>
          <w:rFonts w:ascii="Arial" w:hAnsi="Arial" w:cs="Arial"/>
          <w:lang w:eastAsia="es-MX"/>
        </w:rPr>
        <w:t xml:space="preserve">que </w:t>
      </w:r>
      <w:r w:rsidR="00C36AD0" w:rsidRPr="00C36AD0">
        <w:rPr>
          <w:rFonts w:ascii="Arial" w:hAnsi="Arial" w:cs="Arial"/>
          <w:lang w:eastAsia="es-MX"/>
        </w:rPr>
        <w:t xml:space="preserve">se tenga en posesión al día de la fecha </w:t>
      </w:r>
      <w:r w:rsidR="001D0CBD">
        <w:rPr>
          <w:rFonts w:ascii="Arial" w:hAnsi="Arial" w:cs="Arial"/>
          <w:lang w:eastAsia="es-MX"/>
        </w:rPr>
        <w:t xml:space="preserve">de presentación de </w:t>
      </w:r>
      <w:r w:rsidR="00C36AD0" w:rsidRPr="00C36AD0">
        <w:rPr>
          <w:rFonts w:ascii="Arial" w:hAnsi="Arial" w:cs="Arial"/>
          <w:lang w:eastAsia="es-MX"/>
        </w:rPr>
        <w:t>la solicitud</w:t>
      </w:r>
      <w:r>
        <w:rPr>
          <w:rFonts w:ascii="Arial" w:hAnsi="Arial" w:cs="Arial"/>
          <w:lang w:eastAsia="es-MX"/>
        </w:rPr>
        <w:t>.</w:t>
      </w:r>
    </w:p>
    <w:p w:rsidR="004107C8" w:rsidRDefault="004107C8" w:rsidP="008C26CC">
      <w:pPr>
        <w:rPr>
          <w:rFonts w:ascii="Arial" w:hAnsi="Arial" w:cs="Arial"/>
          <w:lang w:eastAsia="es-MX"/>
        </w:rPr>
      </w:pPr>
    </w:p>
    <w:p w:rsidR="004107C8" w:rsidRDefault="004107C8" w:rsidP="008C26CC">
      <w:pPr>
        <w:rPr>
          <w:rFonts w:ascii="Arial" w:hAnsi="Arial" w:cs="Arial"/>
          <w:lang w:eastAsia="es-MX"/>
        </w:rPr>
      </w:pPr>
      <w:r>
        <w:rPr>
          <w:rFonts w:ascii="Arial" w:hAnsi="Arial" w:cs="Arial"/>
          <w:lang w:eastAsia="es-MX"/>
        </w:rPr>
        <w:t xml:space="preserve">En virtud de que </w:t>
      </w:r>
      <w:r w:rsidRPr="004107C8">
        <w:rPr>
          <w:rFonts w:ascii="Arial" w:hAnsi="Arial" w:cs="Arial"/>
          <w:lang w:eastAsia="es-MX"/>
        </w:rPr>
        <w:t xml:space="preserve">el </w:t>
      </w:r>
      <w:r>
        <w:rPr>
          <w:rFonts w:ascii="Arial" w:hAnsi="Arial" w:cs="Arial"/>
          <w:lang w:eastAsia="es-MX"/>
        </w:rPr>
        <w:t>t</w:t>
      </w:r>
      <w:r w:rsidRPr="004107C8">
        <w:rPr>
          <w:rFonts w:ascii="Arial" w:hAnsi="Arial" w:cs="Arial"/>
          <w:lang w:eastAsia="es-MX"/>
        </w:rPr>
        <w:t>itular de la Unidad no realizó los t</w:t>
      </w:r>
      <w:r>
        <w:rPr>
          <w:rFonts w:ascii="Arial" w:hAnsi="Arial" w:cs="Arial"/>
          <w:lang w:eastAsia="es-MX"/>
        </w:rPr>
        <w:t xml:space="preserve">rámites internos necesarios, el IVAI lo instó para que </w:t>
      </w:r>
      <w:r w:rsidRPr="004107C8">
        <w:rPr>
          <w:rFonts w:ascii="Arial" w:hAnsi="Arial" w:cs="Arial"/>
          <w:lang w:eastAsia="es-MX"/>
        </w:rPr>
        <w:t>d</w:t>
      </w:r>
      <w:r>
        <w:rPr>
          <w:rFonts w:ascii="Arial" w:hAnsi="Arial" w:cs="Arial"/>
          <w:lang w:eastAsia="es-MX"/>
        </w:rPr>
        <w:t xml:space="preserve">é trámite a las solicitudes; en caso </w:t>
      </w:r>
      <w:r w:rsidRPr="004107C8">
        <w:rPr>
          <w:rFonts w:ascii="Arial" w:hAnsi="Arial" w:cs="Arial"/>
          <w:lang w:eastAsia="es-MX"/>
        </w:rPr>
        <w:t xml:space="preserve">de no hacerlo y reincidir en dicha conducta, se hará acreedor a cualquiera de las sanciones previstas en </w:t>
      </w:r>
      <w:r>
        <w:rPr>
          <w:rFonts w:ascii="Arial" w:hAnsi="Arial" w:cs="Arial"/>
          <w:lang w:eastAsia="es-MX"/>
        </w:rPr>
        <w:t>la ley de la materia.</w:t>
      </w:r>
    </w:p>
    <w:p w:rsidR="000B0701" w:rsidRPr="00DE415A" w:rsidRDefault="000B0701" w:rsidP="00D01BC4">
      <w:pPr>
        <w:rPr>
          <w:rFonts w:ascii="Arial" w:hAnsi="Arial" w:cs="Arial"/>
          <w:lang w:eastAsia="es-MX"/>
        </w:rPr>
      </w:pPr>
    </w:p>
    <w:p w:rsidR="00256A92" w:rsidRDefault="0030057B" w:rsidP="00256A92">
      <w:pPr>
        <w:rPr>
          <w:rFonts w:ascii="Arial" w:hAnsi="Arial" w:cs="Arial"/>
          <w:lang w:eastAsia="es-MX"/>
        </w:rPr>
      </w:pPr>
      <w:bookmarkStart w:id="0" w:name="_GoBack"/>
      <w:r w:rsidRPr="00DE415A">
        <w:rPr>
          <w:rFonts w:ascii="Arial" w:hAnsi="Arial" w:cs="Arial"/>
          <w:lang w:eastAsia="es-MX"/>
        </w:rPr>
        <w:t xml:space="preserve">En la sesión </w:t>
      </w:r>
      <w:bookmarkEnd w:id="0"/>
      <w:r w:rsidRPr="00DE415A">
        <w:rPr>
          <w:rFonts w:ascii="Arial" w:hAnsi="Arial" w:cs="Arial"/>
          <w:lang w:eastAsia="es-MX"/>
        </w:rPr>
        <w:t xml:space="preserve">pública de hoy se emitieron </w:t>
      </w:r>
      <w:r w:rsidR="008734A0">
        <w:rPr>
          <w:rFonts w:ascii="Arial" w:hAnsi="Arial" w:cs="Arial"/>
          <w:lang w:eastAsia="es-MX"/>
        </w:rPr>
        <w:t xml:space="preserve">116 </w:t>
      </w:r>
      <w:r w:rsidRPr="00DE415A">
        <w:rPr>
          <w:rFonts w:ascii="Arial" w:hAnsi="Arial" w:cs="Arial"/>
          <w:lang w:eastAsia="es-MX"/>
        </w:rPr>
        <w:t>sentencias, correspondientes</w:t>
      </w:r>
      <w:r w:rsidRPr="00CB41AC">
        <w:rPr>
          <w:rFonts w:ascii="Arial" w:hAnsi="Arial" w:cs="Arial"/>
          <w:lang w:eastAsia="es-MX"/>
        </w:rPr>
        <w:t xml:space="preserve"> a </w:t>
      </w:r>
      <w:r w:rsidR="008734A0">
        <w:rPr>
          <w:rFonts w:ascii="Arial" w:hAnsi="Arial" w:cs="Arial"/>
          <w:lang w:eastAsia="es-MX"/>
        </w:rPr>
        <w:t>129</w:t>
      </w:r>
      <w:r w:rsidR="006D4D95">
        <w:rPr>
          <w:rFonts w:ascii="Arial" w:hAnsi="Arial" w:cs="Arial"/>
          <w:lang w:eastAsia="es-MX"/>
        </w:rPr>
        <w:t xml:space="preserve"> </w:t>
      </w:r>
      <w:r w:rsidR="00D52923">
        <w:rPr>
          <w:rFonts w:ascii="Arial" w:hAnsi="Arial" w:cs="Arial"/>
          <w:lang w:eastAsia="es-MX"/>
        </w:rPr>
        <w:t>expedientes</w:t>
      </w:r>
      <w:r w:rsidR="0074376B">
        <w:rPr>
          <w:rFonts w:ascii="Arial" w:hAnsi="Arial" w:cs="Arial"/>
          <w:lang w:eastAsia="es-MX"/>
        </w:rPr>
        <w:t>, de los cuales</w:t>
      </w:r>
      <w:r w:rsidR="00D52923">
        <w:rPr>
          <w:rFonts w:ascii="Arial" w:hAnsi="Arial" w:cs="Arial"/>
          <w:lang w:eastAsia="es-MX"/>
        </w:rPr>
        <w:t xml:space="preserve"> </w:t>
      </w:r>
      <w:r w:rsidR="008734A0">
        <w:rPr>
          <w:rFonts w:ascii="Arial" w:hAnsi="Arial" w:cs="Arial"/>
          <w:lang w:eastAsia="es-MX"/>
        </w:rPr>
        <w:t xml:space="preserve">120 </w:t>
      </w:r>
      <w:r w:rsidR="0074376B">
        <w:rPr>
          <w:rFonts w:ascii="Arial" w:hAnsi="Arial" w:cs="Arial"/>
          <w:lang w:eastAsia="es-MX"/>
        </w:rPr>
        <w:t xml:space="preserve">fueron </w:t>
      </w:r>
      <w:r w:rsidRPr="00CB41AC">
        <w:rPr>
          <w:rFonts w:ascii="Arial" w:hAnsi="Arial" w:cs="Arial"/>
          <w:lang w:eastAsia="es-MX"/>
        </w:rPr>
        <w:t>recursos de revisión</w:t>
      </w:r>
      <w:r w:rsidR="006D4D95">
        <w:rPr>
          <w:rFonts w:ascii="Arial" w:hAnsi="Arial" w:cs="Arial"/>
          <w:lang w:eastAsia="es-MX"/>
        </w:rPr>
        <w:t xml:space="preserve"> y </w:t>
      </w:r>
      <w:r w:rsidR="008734A0">
        <w:rPr>
          <w:rFonts w:ascii="Arial" w:hAnsi="Arial" w:cs="Arial"/>
          <w:lang w:eastAsia="es-MX"/>
        </w:rPr>
        <w:t>9</w:t>
      </w:r>
      <w:r w:rsidRPr="00CB41AC">
        <w:rPr>
          <w:rFonts w:ascii="Arial" w:hAnsi="Arial" w:cs="Arial"/>
          <w:lang w:eastAsia="es-MX"/>
        </w:rPr>
        <w:t xml:space="preserve"> denuncias por incumplimiento de obligaciones de transparencia.</w:t>
      </w:r>
    </w:p>
    <w:p w:rsidR="00AA4FBF" w:rsidRDefault="00AA4FBF" w:rsidP="00256A92">
      <w:pPr>
        <w:rPr>
          <w:rFonts w:ascii="Arial" w:hAnsi="Arial" w:cs="Arial"/>
          <w:lang w:eastAsia="es-MX"/>
        </w:rPr>
      </w:pPr>
    </w:p>
    <w:p w:rsidR="006E286C" w:rsidRDefault="006E286C" w:rsidP="00256A92">
      <w:pPr>
        <w:rPr>
          <w:rFonts w:ascii="Arial" w:hAnsi="Arial" w:cs="Arial"/>
          <w:lang w:eastAsia="es-MX"/>
        </w:rPr>
      </w:pPr>
    </w:p>
    <w:p w:rsidR="00AD7CB2" w:rsidRDefault="00AD7CB2" w:rsidP="00256A92">
      <w:pPr>
        <w:rPr>
          <w:rFonts w:ascii="Arial" w:hAnsi="Arial" w:cs="Arial"/>
          <w:lang w:eastAsia="es-MX"/>
        </w:rPr>
      </w:pPr>
    </w:p>
    <w:p w:rsidR="00CF42EF" w:rsidRDefault="00CF42EF" w:rsidP="003B596D">
      <w:pPr>
        <w:jc w:val="center"/>
        <w:rPr>
          <w:rFonts w:ascii="Arial" w:hAnsi="Arial" w:cs="Arial"/>
          <w:lang w:eastAsia="es-MX"/>
        </w:rPr>
      </w:pPr>
      <w:r w:rsidRPr="00DC72D0">
        <w:rPr>
          <w:rFonts w:ascii="Arial" w:hAnsi="Arial" w:cs="Arial"/>
          <w:b/>
          <w:lang w:eastAsia="es-MX"/>
        </w:rPr>
        <w:t>---000---</w:t>
      </w:r>
    </w:p>
    <w:sectPr w:rsidR="00CF42E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5B" w:rsidRDefault="00372C5B" w:rsidP="00E418E4">
      <w:r>
        <w:separator/>
      </w:r>
    </w:p>
  </w:endnote>
  <w:endnote w:type="continuationSeparator" w:id="0">
    <w:p w:rsidR="00372C5B" w:rsidRDefault="00372C5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pPr>
      <w:pStyle w:val="Piedepgina"/>
      <w:jc w:val="right"/>
    </w:pP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5B" w:rsidRDefault="00372C5B" w:rsidP="00E418E4">
      <w:r>
        <w:separator/>
      </w:r>
    </w:p>
  </w:footnote>
  <w:footnote w:type="continuationSeparator" w:id="0">
    <w:p w:rsidR="00372C5B" w:rsidRDefault="00372C5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E654DC"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CD49B2">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D49B2">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7045D0">
      <w:rPr>
        <w:rFonts w:ascii="Arial Narrow" w:hAnsi="Arial Narrow"/>
        <w:b/>
        <w:sz w:val="20"/>
        <w:szCs w:val="20"/>
      </w:rPr>
      <w:t>2</w:t>
    </w:r>
    <w:r w:rsidR="008C26CC">
      <w:rPr>
        <w:rFonts w:ascii="Arial Narrow" w:hAnsi="Arial Narrow"/>
        <w:b/>
        <w:sz w:val="20"/>
        <w:szCs w:val="20"/>
      </w:rPr>
      <w:t>4</w:t>
    </w:r>
  </w:p>
  <w:p w:rsidR="002171A7" w:rsidRPr="00ED0024" w:rsidRDefault="008C26CC" w:rsidP="00C33AFE">
    <w:pPr>
      <w:pStyle w:val="Encabezado"/>
      <w:rPr>
        <w:rFonts w:ascii="Arial Narrow" w:hAnsi="Arial Narrow"/>
        <w:b/>
        <w:sz w:val="20"/>
        <w:szCs w:val="20"/>
      </w:rPr>
    </w:pPr>
    <w:r>
      <w:rPr>
        <w:rFonts w:ascii="Arial Narrow" w:hAnsi="Arial Narrow"/>
        <w:b/>
        <w:sz w:val="20"/>
        <w:szCs w:val="20"/>
      </w:rPr>
      <w:t>10</w:t>
    </w:r>
    <w:r w:rsidR="002171A7">
      <w:rPr>
        <w:rFonts w:ascii="Arial Narrow" w:hAnsi="Arial Narrow"/>
        <w:b/>
        <w:sz w:val="20"/>
        <w:szCs w:val="20"/>
      </w:rPr>
      <w:t>/0</w:t>
    </w:r>
    <w:r>
      <w:rPr>
        <w:rFonts w:ascii="Arial Narrow" w:hAnsi="Arial Narrow"/>
        <w:b/>
        <w:sz w:val="20"/>
        <w:szCs w:val="20"/>
      </w:rPr>
      <w:t>9</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32"/>
  </w:num>
  <w:num w:numId="5">
    <w:abstractNumId w:val="31"/>
  </w:num>
  <w:num w:numId="6">
    <w:abstractNumId w:val="28"/>
  </w:num>
  <w:num w:numId="7">
    <w:abstractNumId w:val="22"/>
  </w:num>
  <w:num w:numId="8">
    <w:abstractNumId w:val="8"/>
  </w:num>
  <w:num w:numId="9">
    <w:abstractNumId w:val="21"/>
  </w:num>
  <w:num w:numId="10">
    <w:abstractNumId w:val="17"/>
  </w:num>
  <w:num w:numId="11">
    <w:abstractNumId w:val="1"/>
  </w:num>
  <w:num w:numId="12">
    <w:abstractNumId w:val="0"/>
  </w:num>
  <w:num w:numId="13">
    <w:abstractNumId w:val="16"/>
  </w:num>
  <w:num w:numId="14">
    <w:abstractNumId w:val="11"/>
  </w:num>
  <w:num w:numId="15">
    <w:abstractNumId w:val="30"/>
  </w:num>
  <w:num w:numId="16">
    <w:abstractNumId w:val="29"/>
  </w:num>
  <w:num w:numId="17">
    <w:abstractNumId w:val="6"/>
  </w:num>
  <w:num w:numId="18">
    <w:abstractNumId w:val="23"/>
  </w:num>
  <w:num w:numId="19">
    <w:abstractNumId w:val="12"/>
  </w:num>
  <w:num w:numId="20">
    <w:abstractNumId w:val="9"/>
  </w:num>
  <w:num w:numId="21">
    <w:abstractNumId w:val="14"/>
  </w:num>
  <w:num w:numId="22">
    <w:abstractNumId w:val="25"/>
  </w:num>
  <w:num w:numId="23">
    <w:abstractNumId w:val="18"/>
  </w:num>
  <w:num w:numId="24">
    <w:abstractNumId w:val="27"/>
  </w:num>
  <w:num w:numId="25">
    <w:abstractNumId w:val="19"/>
  </w:num>
  <w:num w:numId="26">
    <w:abstractNumId w:val="24"/>
  </w:num>
  <w:num w:numId="27">
    <w:abstractNumId w:val="33"/>
  </w:num>
  <w:num w:numId="28">
    <w:abstractNumId w:val="26"/>
  </w:num>
  <w:num w:numId="29">
    <w:abstractNumId w:val="4"/>
  </w:num>
  <w:num w:numId="30">
    <w:abstractNumId w:val="7"/>
  </w:num>
  <w:num w:numId="31">
    <w:abstractNumId w:val="13"/>
  </w:num>
  <w:num w:numId="32">
    <w:abstractNumId w:val="34"/>
  </w:num>
  <w:num w:numId="33">
    <w:abstractNumId w:val="10"/>
  </w:num>
  <w:num w:numId="34">
    <w:abstractNumId w:val="20"/>
  </w:num>
  <w:num w:numId="3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16AC"/>
    <w:rsid w:val="00002415"/>
    <w:rsid w:val="00002480"/>
    <w:rsid w:val="00002A71"/>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BD9"/>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5858"/>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A55"/>
    <w:rsid w:val="000C706C"/>
    <w:rsid w:val="000C75F7"/>
    <w:rsid w:val="000C7BF4"/>
    <w:rsid w:val="000D04BD"/>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488"/>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7FB"/>
    <w:rsid w:val="00163E12"/>
    <w:rsid w:val="0016470E"/>
    <w:rsid w:val="00164C7C"/>
    <w:rsid w:val="00165314"/>
    <w:rsid w:val="0016587A"/>
    <w:rsid w:val="001659ED"/>
    <w:rsid w:val="0016609E"/>
    <w:rsid w:val="00166F3F"/>
    <w:rsid w:val="00166FCE"/>
    <w:rsid w:val="00167C22"/>
    <w:rsid w:val="00170164"/>
    <w:rsid w:val="001703B1"/>
    <w:rsid w:val="0017042A"/>
    <w:rsid w:val="001704E9"/>
    <w:rsid w:val="00170504"/>
    <w:rsid w:val="00170648"/>
    <w:rsid w:val="00170B2F"/>
    <w:rsid w:val="00170BDE"/>
    <w:rsid w:val="00171048"/>
    <w:rsid w:val="00171575"/>
    <w:rsid w:val="00171846"/>
    <w:rsid w:val="00171B25"/>
    <w:rsid w:val="00171F0B"/>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8021E"/>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2007D"/>
    <w:rsid w:val="003212D4"/>
    <w:rsid w:val="0032144D"/>
    <w:rsid w:val="00321B38"/>
    <w:rsid w:val="00321CE7"/>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27C8D"/>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1BA"/>
    <w:rsid w:val="003D05E2"/>
    <w:rsid w:val="003D06C1"/>
    <w:rsid w:val="003D1750"/>
    <w:rsid w:val="003D17E3"/>
    <w:rsid w:val="003D1861"/>
    <w:rsid w:val="003D1DF2"/>
    <w:rsid w:val="003D22E0"/>
    <w:rsid w:val="003D233A"/>
    <w:rsid w:val="003D245B"/>
    <w:rsid w:val="003D2AF9"/>
    <w:rsid w:val="003D2FEC"/>
    <w:rsid w:val="003D3018"/>
    <w:rsid w:val="003D314C"/>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7C8"/>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23D"/>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A07"/>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4DBE"/>
    <w:rsid w:val="005351B7"/>
    <w:rsid w:val="005363E0"/>
    <w:rsid w:val="0053649A"/>
    <w:rsid w:val="005368B4"/>
    <w:rsid w:val="00536F40"/>
    <w:rsid w:val="0053721F"/>
    <w:rsid w:val="00537545"/>
    <w:rsid w:val="00537A71"/>
    <w:rsid w:val="00537B5E"/>
    <w:rsid w:val="00540483"/>
    <w:rsid w:val="00540DFA"/>
    <w:rsid w:val="00540FC7"/>
    <w:rsid w:val="005420E0"/>
    <w:rsid w:val="00542BCC"/>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383"/>
    <w:rsid w:val="005E7412"/>
    <w:rsid w:val="005E7D30"/>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261A"/>
    <w:rsid w:val="006029B2"/>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E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93A"/>
    <w:rsid w:val="006B4C47"/>
    <w:rsid w:val="006B5144"/>
    <w:rsid w:val="006B51F2"/>
    <w:rsid w:val="006B574D"/>
    <w:rsid w:val="006B5D2B"/>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D2C"/>
    <w:rsid w:val="00700F8D"/>
    <w:rsid w:val="00700F9C"/>
    <w:rsid w:val="0070141E"/>
    <w:rsid w:val="007018C1"/>
    <w:rsid w:val="0070200B"/>
    <w:rsid w:val="00702249"/>
    <w:rsid w:val="00702993"/>
    <w:rsid w:val="00703245"/>
    <w:rsid w:val="007040A2"/>
    <w:rsid w:val="007044EC"/>
    <w:rsid w:val="007045D0"/>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C06"/>
    <w:rsid w:val="00756807"/>
    <w:rsid w:val="00756812"/>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002"/>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0F50"/>
    <w:rsid w:val="007F10FE"/>
    <w:rsid w:val="007F11BF"/>
    <w:rsid w:val="007F1319"/>
    <w:rsid w:val="007F14BD"/>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DC9"/>
    <w:rsid w:val="00841146"/>
    <w:rsid w:val="0084143B"/>
    <w:rsid w:val="00843237"/>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593B"/>
    <w:rsid w:val="008F5B7A"/>
    <w:rsid w:val="008F6263"/>
    <w:rsid w:val="008F6CFC"/>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59C"/>
    <w:rsid w:val="00907C83"/>
    <w:rsid w:val="0091018B"/>
    <w:rsid w:val="0091074E"/>
    <w:rsid w:val="00910864"/>
    <w:rsid w:val="00910B0B"/>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77C"/>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5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830"/>
    <w:rsid w:val="00AA5B9C"/>
    <w:rsid w:val="00AA5C9D"/>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538B"/>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6944"/>
    <w:rsid w:val="00B87412"/>
    <w:rsid w:val="00B87F0A"/>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7514"/>
    <w:rsid w:val="00BE7AB3"/>
    <w:rsid w:val="00BE7B7A"/>
    <w:rsid w:val="00BF04EF"/>
    <w:rsid w:val="00BF06EE"/>
    <w:rsid w:val="00BF0DB4"/>
    <w:rsid w:val="00BF178A"/>
    <w:rsid w:val="00BF1816"/>
    <w:rsid w:val="00BF18B8"/>
    <w:rsid w:val="00BF2803"/>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57D16"/>
    <w:rsid w:val="00C6193F"/>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EC4"/>
    <w:rsid w:val="00CE4F20"/>
    <w:rsid w:val="00CE5436"/>
    <w:rsid w:val="00CE54F5"/>
    <w:rsid w:val="00CE59B6"/>
    <w:rsid w:val="00CE59C2"/>
    <w:rsid w:val="00CE59C8"/>
    <w:rsid w:val="00CE5BBF"/>
    <w:rsid w:val="00CE5C64"/>
    <w:rsid w:val="00CE5DD2"/>
    <w:rsid w:val="00CE5E39"/>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819"/>
    <w:rsid w:val="00D15BFE"/>
    <w:rsid w:val="00D166B1"/>
    <w:rsid w:val="00D167EE"/>
    <w:rsid w:val="00D169E8"/>
    <w:rsid w:val="00D1710F"/>
    <w:rsid w:val="00D17899"/>
    <w:rsid w:val="00D17CE5"/>
    <w:rsid w:val="00D17E37"/>
    <w:rsid w:val="00D203BC"/>
    <w:rsid w:val="00D205BC"/>
    <w:rsid w:val="00D20BB9"/>
    <w:rsid w:val="00D20EB5"/>
    <w:rsid w:val="00D210C0"/>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67CE5"/>
    <w:rsid w:val="00D71180"/>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8E4"/>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38D"/>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2FE"/>
    <w:rsid w:val="00F523A4"/>
    <w:rsid w:val="00F5248B"/>
    <w:rsid w:val="00F52AE4"/>
    <w:rsid w:val="00F52E3A"/>
    <w:rsid w:val="00F53061"/>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2E2"/>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505B"/>
    <w:rsid w:val="00F954C5"/>
    <w:rsid w:val="00F9562A"/>
    <w:rsid w:val="00F9570D"/>
    <w:rsid w:val="00F95A87"/>
    <w:rsid w:val="00F95B68"/>
    <w:rsid w:val="00F969F4"/>
    <w:rsid w:val="00F96B8C"/>
    <w:rsid w:val="00F96F57"/>
    <w:rsid w:val="00F97433"/>
    <w:rsid w:val="00F97E95"/>
    <w:rsid w:val="00FA054D"/>
    <w:rsid w:val="00FA0587"/>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44A"/>
    <w:rsid w:val="00FA555F"/>
    <w:rsid w:val="00FA5C7A"/>
    <w:rsid w:val="00FA6AD5"/>
    <w:rsid w:val="00FA6BB7"/>
    <w:rsid w:val="00FA6F1F"/>
    <w:rsid w:val="00FA7923"/>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B5671-388D-4664-995C-932C3573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106</cp:revision>
  <cp:lastPrinted>2017-03-23T00:31:00Z</cp:lastPrinted>
  <dcterms:created xsi:type="dcterms:W3CDTF">2019-07-05T22:28:00Z</dcterms:created>
  <dcterms:modified xsi:type="dcterms:W3CDTF">2019-09-10T22:46:00Z</dcterms:modified>
</cp:coreProperties>
</file>