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31" w:rsidRPr="00EC0431" w:rsidRDefault="00EC0431" w:rsidP="0055252F">
      <w:pPr>
        <w:jc w:val="center"/>
        <w:rPr>
          <w:rFonts w:ascii="Arial" w:hAnsi="Arial" w:cs="Arial"/>
          <w:b/>
          <w:sz w:val="21"/>
          <w:szCs w:val="21"/>
          <w:highlight w:val="yellow"/>
          <w:lang w:eastAsia="es-MX"/>
        </w:rPr>
      </w:pPr>
      <w:r w:rsidRPr="00EC0431">
        <w:rPr>
          <w:rFonts w:ascii="Arial" w:hAnsi="Arial" w:cs="Arial"/>
          <w:sz w:val="21"/>
          <w:szCs w:val="21"/>
          <w:lang w:eastAsia="es-MX"/>
        </w:rPr>
        <w:t xml:space="preserve">IVAI, OPLE, IVM, CEDH, SIPINNA, DIF, CEEAIV y </w:t>
      </w:r>
      <w:proofErr w:type="spellStart"/>
      <w:r w:rsidRPr="00EC0431">
        <w:rPr>
          <w:rFonts w:ascii="Arial" w:hAnsi="Arial" w:cs="Arial"/>
          <w:sz w:val="21"/>
          <w:szCs w:val="21"/>
          <w:lang w:eastAsia="es-MX"/>
        </w:rPr>
        <w:t>Aveli</w:t>
      </w:r>
      <w:proofErr w:type="spellEnd"/>
      <w:r w:rsidRPr="00EC0431">
        <w:rPr>
          <w:rFonts w:ascii="Arial" w:hAnsi="Arial" w:cs="Arial"/>
          <w:sz w:val="21"/>
          <w:szCs w:val="21"/>
          <w:lang w:eastAsia="es-MX"/>
        </w:rPr>
        <w:t xml:space="preserve"> firman convenio de colaboración</w:t>
      </w:r>
    </w:p>
    <w:p w:rsidR="00EC0431" w:rsidRDefault="00EC0431" w:rsidP="0055252F">
      <w:pPr>
        <w:jc w:val="center"/>
        <w:rPr>
          <w:rFonts w:ascii="Arial" w:hAnsi="Arial" w:cs="Arial"/>
          <w:b/>
          <w:sz w:val="28"/>
          <w:szCs w:val="28"/>
          <w:highlight w:val="yellow"/>
          <w:lang w:eastAsia="es-MX"/>
        </w:rPr>
      </w:pPr>
    </w:p>
    <w:p w:rsidR="00A54AA7" w:rsidRDefault="00116919" w:rsidP="00A54AA7">
      <w:pPr>
        <w:jc w:val="center"/>
        <w:rPr>
          <w:rFonts w:ascii="Arial" w:hAnsi="Arial" w:cs="Arial"/>
          <w:b/>
          <w:sz w:val="28"/>
          <w:szCs w:val="28"/>
          <w:lang w:eastAsia="es-MX"/>
        </w:rPr>
      </w:pPr>
      <w:r>
        <w:rPr>
          <w:rFonts w:ascii="Arial" w:hAnsi="Arial" w:cs="Arial"/>
          <w:b/>
          <w:sz w:val="28"/>
          <w:szCs w:val="28"/>
          <w:lang w:eastAsia="es-MX"/>
        </w:rPr>
        <w:t>Impulsan</w:t>
      </w:r>
      <w:r w:rsidR="00EC0431" w:rsidRPr="00116919">
        <w:rPr>
          <w:rFonts w:ascii="Arial" w:hAnsi="Arial" w:cs="Arial"/>
          <w:b/>
          <w:sz w:val="28"/>
          <w:szCs w:val="28"/>
          <w:lang w:eastAsia="es-MX"/>
        </w:rPr>
        <w:t xml:space="preserve"> igualdad de condiciones </w:t>
      </w:r>
      <w:r w:rsidR="00A54AA7">
        <w:rPr>
          <w:rFonts w:ascii="Arial" w:hAnsi="Arial" w:cs="Arial"/>
          <w:b/>
          <w:sz w:val="28"/>
          <w:szCs w:val="28"/>
          <w:lang w:eastAsia="es-MX"/>
        </w:rPr>
        <w:t xml:space="preserve">en </w:t>
      </w:r>
    </w:p>
    <w:p w:rsidR="00F87395" w:rsidRPr="00116919" w:rsidRDefault="00A54AA7" w:rsidP="00A54AA7">
      <w:pPr>
        <w:jc w:val="center"/>
        <w:rPr>
          <w:rFonts w:ascii="Arial" w:hAnsi="Arial" w:cs="Arial"/>
          <w:b/>
          <w:sz w:val="28"/>
          <w:szCs w:val="28"/>
          <w:lang w:eastAsia="es-MX"/>
        </w:rPr>
      </w:pPr>
      <w:proofErr w:type="gramStart"/>
      <w:r>
        <w:rPr>
          <w:rFonts w:ascii="Arial" w:hAnsi="Arial" w:cs="Arial"/>
          <w:b/>
          <w:sz w:val="28"/>
          <w:szCs w:val="28"/>
          <w:lang w:eastAsia="es-MX"/>
        </w:rPr>
        <w:t>el</w:t>
      </w:r>
      <w:proofErr w:type="gramEnd"/>
      <w:r>
        <w:rPr>
          <w:rFonts w:ascii="Arial" w:hAnsi="Arial" w:cs="Arial"/>
          <w:b/>
          <w:sz w:val="28"/>
          <w:szCs w:val="28"/>
          <w:lang w:eastAsia="es-MX"/>
        </w:rPr>
        <w:t xml:space="preserve"> derecho de </w:t>
      </w:r>
      <w:r w:rsidR="00EC0431" w:rsidRPr="00116919">
        <w:rPr>
          <w:rFonts w:ascii="Arial" w:hAnsi="Arial" w:cs="Arial"/>
          <w:b/>
          <w:sz w:val="28"/>
          <w:szCs w:val="28"/>
          <w:lang w:eastAsia="es-MX"/>
        </w:rPr>
        <w:t>acceso a la información</w:t>
      </w:r>
    </w:p>
    <w:p w:rsidR="00A72865" w:rsidRPr="004229F9" w:rsidRDefault="00A72865" w:rsidP="009C1E0A">
      <w:pPr>
        <w:jc w:val="center"/>
        <w:rPr>
          <w:rFonts w:ascii="Arial" w:hAnsi="Arial" w:cs="Arial"/>
          <w:b/>
          <w:sz w:val="28"/>
          <w:szCs w:val="28"/>
          <w:highlight w:val="yellow"/>
          <w:lang w:eastAsia="es-MX"/>
        </w:rPr>
      </w:pPr>
    </w:p>
    <w:p w:rsidR="00D77C33" w:rsidRDefault="00D0433F" w:rsidP="00D0433F">
      <w:pPr>
        <w:pStyle w:val="Prrafodelista"/>
        <w:numPr>
          <w:ilvl w:val="0"/>
          <w:numId w:val="34"/>
        </w:numPr>
        <w:ind w:left="426"/>
        <w:rPr>
          <w:rFonts w:ascii="Arial" w:hAnsi="Arial" w:cs="Arial"/>
          <w:sz w:val="22"/>
          <w:szCs w:val="22"/>
          <w:lang w:eastAsia="es-MX"/>
        </w:rPr>
      </w:pPr>
      <w:r w:rsidRPr="00D0433F">
        <w:rPr>
          <w:rFonts w:ascii="Arial" w:hAnsi="Arial" w:cs="Arial"/>
          <w:sz w:val="22"/>
          <w:szCs w:val="22"/>
          <w:lang w:eastAsia="es-MX"/>
        </w:rPr>
        <w:t xml:space="preserve">Buscarán eliminar brechas físicas, comunicacionales, normativas o de otro tipo </w:t>
      </w:r>
    </w:p>
    <w:p w:rsidR="00875ED6" w:rsidRPr="00875ED6" w:rsidRDefault="00875ED6" w:rsidP="003C1226">
      <w:pPr>
        <w:pStyle w:val="Prrafodelista"/>
        <w:numPr>
          <w:ilvl w:val="0"/>
          <w:numId w:val="34"/>
        </w:numPr>
        <w:ind w:left="426"/>
        <w:rPr>
          <w:rFonts w:ascii="Arial" w:hAnsi="Arial" w:cs="Arial"/>
          <w:sz w:val="22"/>
          <w:szCs w:val="22"/>
          <w:lang w:eastAsia="es-MX"/>
        </w:rPr>
      </w:pPr>
      <w:r w:rsidRPr="00875ED6">
        <w:rPr>
          <w:rFonts w:ascii="Arial" w:hAnsi="Arial" w:cs="Arial"/>
          <w:sz w:val="22"/>
          <w:szCs w:val="22"/>
          <w:lang w:eastAsia="es-MX"/>
        </w:rPr>
        <w:t>Respaldan la suma de esfuerzos el TEPJF y el INE, organismos nacionales con experiencia en la materia</w:t>
      </w:r>
    </w:p>
    <w:p w:rsidR="00D0433F" w:rsidRPr="00D0433F" w:rsidRDefault="00D0433F" w:rsidP="00D0433F">
      <w:pPr>
        <w:pStyle w:val="Prrafodelista"/>
        <w:ind w:left="426"/>
        <w:rPr>
          <w:rFonts w:ascii="Arial" w:hAnsi="Arial" w:cs="Arial"/>
          <w:b/>
          <w:sz w:val="28"/>
          <w:szCs w:val="28"/>
          <w:highlight w:val="green"/>
          <w:lang w:eastAsia="es-MX"/>
        </w:rPr>
      </w:pPr>
    </w:p>
    <w:p w:rsidR="004229F9" w:rsidRDefault="00CA6FA5" w:rsidP="004229F9">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ED7F37">
        <w:rPr>
          <w:rFonts w:ascii="Arial" w:hAnsi="Arial" w:cs="Arial"/>
          <w:lang w:eastAsia="es-MX"/>
        </w:rPr>
        <w:t>23</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6D4D95">
        <w:rPr>
          <w:rFonts w:ascii="Arial" w:hAnsi="Arial" w:cs="Arial"/>
          <w:lang w:eastAsia="es-MX"/>
        </w:rPr>
        <w:t xml:space="preserve">agosto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4229F9">
        <w:rPr>
          <w:rFonts w:ascii="Arial" w:hAnsi="Arial" w:cs="Arial"/>
          <w:lang w:eastAsia="es-MX"/>
        </w:rPr>
        <w:t xml:space="preserve">Los grupos vulnerables son la asignatura pendiente de las instituciones públicas, con quienes </w:t>
      </w:r>
      <w:r w:rsidR="003C56BE">
        <w:rPr>
          <w:rFonts w:ascii="Arial" w:hAnsi="Arial" w:cs="Arial"/>
          <w:lang w:eastAsia="es-MX"/>
        </w:rPr>
        <w:t xml:space="preserve">se </w:t>
      </w:r>
      <w:r w:rsidR="004229F9">
        <w:rPr>
          <w:rFonts w:ascii="Arial" w:hAnsi="Arial" w:cs="Arial"/>
          <w:lang w:eastAsia="es-MX"/>
        </w:rPr>
        <w:t xml:space="preserve">tiene un deber insoslayable; por ello, </w:t>
      </w:r>
      <w:r w:rsidR="006D05FE">
        <w:rPr>
          <w:rFonts w:ascii="Arial" w:hAnsi="Arial" w:cs="Arial"/>
          <w:lang w:eastAsia="es-MX"/>
        </w:rPr>
        <w:t xml:space="preserve">este día se firmó convenio general de colaboración entre el </w:t>
      </w:r>
      <w:r w:rsidR="004229F9">
        <w:rPr>
          <w:rFonts w:ascii="Arial" w:hAnsi="Arial" w:cs="Arial"/>
          <w:lang w:eastAsia="es-MX"/>
        </w:rPr>
        <w:t xml:space="preserve">Instituto Veracruzano de Acceso a la Información y Protección de Datos Personales (IVAI); el Organismo Público Local Electoral (OPLE) de Veracruz; el </w:t>
      </w:r>
      <w:r w:rsidR="004229F9" w:rsidRPr="004229F9">
        <w:rPr>
          <w:rFonts w:ascii="Arial" w:hAnsi="Arial" w:cs="Arial"/>
          <w:lang w:eastAsia="es-MX"/>
        </w:rPr>
        <w:t>Instituto Veracruzano de las Mujeres</w:t>
      </w:r>
      <w:r w:rsidR="004229F9">
        <w:rPr>
          <w:rFonts w:ascii="Arial" w:hAnsi="Arial" w:cs="Arial"/>
          <w:lang w:eastAsia="es-MX"/>
        </w:rPr>
        <w:t xml:space="preserve"> (IVM); la </w:t>
      </w:r>
      <w:r w:rsidR="004229F9" w:rsidRPr="004229F9">
        <w:rPr>
          <w:rFonts w:ascii="Arial" w:hAnsi="Arial" w:cs="Arial"/>
          <w:lang w:eastAsia="es-MX"/>
        </w:rPr>
        <w:t xml:space="preserve">Comisión Estatal de Derechos Humanos </w:t>
      </w:r>
      <w:r w:rsidR="004229F9">
        <w:rPr>
          <w:rFonts w:ascii="Arial" w:hAnsi="Arial" w:cs="Arial"/>
          <w:lang w:eastAsia="es-MX"/>
        </w:rPr>
        <w:t xml:space="preserve">(CEDH) </w:t>
      </w:r>
      <w:r w:rsidR="004229F9" w:rsidRPr="004229F9">
        <w:rPr>
          <w:rFonts w:ascii="Arial" w:hAnsi="Arial" w:cs="Arial"/>
          <w:lang w:eastAsia="es-MX"/>
        </w:rPr>
        <w:t>Veracruz</w:t>
      </w:r>
      <w:r w:rsidR="004229F9">
        <w:rPr>
          <w:rFonts w:ascii="Arial" w:hAnsi="Arial" w:cs="Arial"/>
          <w:lang w:eastAsia="es-MX"/>
        </w:rPr>
        <w:t xml:space="preserve">; la </w:t>
      </w:r>
      <w:r w:rsidR="004229F9" w:rsidRPr="004229F9">
        <w:rPr>
          <w:rFonts w:ascii="Arial" w:hAnsi="Arial" w:cs="Arial"/>
          <w:lang w:eastAsia="es-MX"/>
        </w:rPr>
        <w:t>Secretaría Ejecutiva del Sistema de Protección Integral de Niñas, Niños y</w:t>
      </w:r>
      <w:r w:rsidR="004229F9">
        <w:rPr>
          <w:rFonts w:ascii="Arial" w:hAnsi="Arial" w:cs="Arial"/>
          <w:lang w:eastAsia="es-MX"/>
        </w:rPr>
        <w:t xml:space="preserve"> </w:t>
      </w:r>
      <w:r w:rsidR="004229F9" w:rsidRPr="004229F9">
        <w:rPr>
          <w:rFonts w:ascii="Arial" w:hAnsi="Arial" w:cs="Arial"/>
          <w:lang w:eastAsia="es-MX"/>
        </w:rPr>
        <w:t>Adolescentes (SIPINNA) del Estado de Veracruz</w:t>
      </w:r>
      <w:r w:rsidR="004229F9">
        <w:rPr>
          <w:rFonts w:ascii="Arial" w:hAnsi="Arial" w:cs="Arial"/>
          <w:lang w:eastAsia="es-MX"/>
        </w:rPr>
        <w:t xml:space="preserve">; el </w:t>
      </w:r>
      <w:r w:rsidR="004229F9" w:rsidRPr="004229F9">
        <w:rPr>
          <w:rFonts w:ascii="Arial" w:hAnsi="Arial" w:cs="Arial"/>
          <w:lang w:eastAsia="es-MX"/>
        </w:rPr>
        <w:t xml:space="preserve">Sistema para el Desarrollo Integral de la Familia </w:t>
      </w:r>
      <w:r w:rsidR="004229F9">
        <w:rPr>
          <w:rFonts w:ascii="Arial" w:hAnsi="Arial" w:cs="Arial"/>
          <w:lang w:eastAsia="es-MX"/>
        </w:rPr>
        <w:t xml:space="preserve">(DIF) </w:t>
      </w:r>
      <w:r w:rsidR="004229F9" w:rsidRPr="004229F9">
        <w:rPr>
          <w:rFonts w:ascii="Arial" w:hAnsi="Arial" w:cs="Arial"/>
          <w:lang w:eastAsia="es-MX"/>
        </w:rPr>
        <w:t>del Estado de Veracruz</w:t>
      </w:r>
      <w:r w:rsidR="004229F9">
        <w:rPr>
          <w:rFonts w:ascii="Arial" w:hAnsi="Arial" w:cs="Arial"/>
          <w:lang w:eastAsia="es-MX"/>
        </w:rPr>
        <w:t xml:space="preserve">; la </w:t>
      </w:r>
      <w:r w:rsidR="004229F9" w:rsidRPr="004229F9">
        <w:rPr>
          <w:rFonts w:ascii="Arial" w:hAnsi="Arial" w:cs="Arial"/>
          <w:lang w:eastAsia="es-MX"/>
        </w:rPr>
        <w:t>Comisión Ejecutiva Estatal de Atención Integral a Víctimas</w:t>
      </w:r>
      <w:r w:rsidR="004229F9">
        <w:rPr>
          <w:rFonts w:ascii="Arial" w:hAnsi="Arial" w:cs="Arial"/>
          <w:lang w:eastAsia="es-MX"/>
        </w:rPr>
        <w:t xml:space="preserve"> (CEEAIV) y la </w:t>
      </w:r>
      <w:r w:rsidR="004229F9" w:rsidRPr="004229F9">
        <w:rPr>
          <w:rFonts w:ascii="Arial" w:hAnsi="Arial" w:cs="Arial"/>
          <w:lang w:eastAsia="es-MX"/>
        </w:rPr>
        <w:t>Academia Veracruzana de las Lenguas Indígenas</w:t>
      </w:r>
      <w:r w:rsidR="004229F9">
        <w:rPr>
          <w:rFonts w:ascii="Arial" w:hAnsi="Arial" w:cs="Arial"/>
          <w:lang w:eastAsia="es-MX"/>
        </w:rPr>
        <w:t xml:space="preserve"> (</w:t>
      </w:r>
      <w:proofErr w:type="spellStart"/>
      <w:r w:rsidR="004229F9">
        <w:rPr>
          <w:rFonts w:ascii="Arial" w:hAnsi="Arial" w:cs="Arial"/>
          <w:lang w:eastAsia="es-MX"/>
        </w:rPr>
        <w:t>Aveli</w:t>
      </w:r>
      <w:proofErr w:type="spellEnd"/>
      <w:r w:rsidR="004229F9">
        <w:rPr>
          <w:rFonts w:ascii="Arial" w:hAnsi="Arial" w:cs="Arial"/>
          <w:lang w:eastAsia="es-MX"/>
        </w:rPr>
        <w:t>)</w:t>
      </w:r>
      <w:r w:rsidR="006D05FE">
        <w:rPr>
          <w:rFonts w:ascii="Arial" w:hAnsi="Arial" w:cs="Arial"/>
          <w:lang w:eastAsia="es-MX"/>
        </w:rPr>
        <w:t>.</w:t>
      </w:r>
      <w:r w:rsidR="004229F9">
        <w:rPr>
          <w:rFonts w:ascii="Arial" w:hAnsi="Arial" w:cs="Arial"/>
          <w:lang w:eastAsia="es-MX"/>
        </w:rPr>
        <w:t xml:space="preserve"> </w:t>
      </w:r>
    </w:p>
    <w:p w:rsidR="004229F9" w:rsidRDefault="004229F9" w:rsidP="004229F9">
      <w:pPr>
        <w:rPr>
          <w:rFonts w:ascii="Arial" w:hAnsi="Arial" w:cs="Arial"/>
          <w:lang w:eastAsia="es-MX"/>
        </w:rPr>
      </w:pPr>
    </w:p>
    <w:p w:rsidR="006D05FE" w:rsidRDefault="008B072A" w:rsidP="008B072A">
      <w:pPr>
        <w:rPr>
          <w:rFonts w:ascii="Arial" w:hAnsi="Arial" w:cs="Arial"/>
          <w:lang w:eastAsia="es-MX"/>
        </w:rPr>
      </w:pPr>
      <w:r>
        <w:rPr>
          <w:rFonts w:ascii="Arial" w:hAnsi="Arial" w:cs="Arial"/>
          <w:lang w:eastAsia="es-MX"/>
        </w:rPr>
        <w:t>En un evento realizado en el Colegio de Notarios de Veracruz, estas instituciones fueron respaldadas por el Tribunal Electoral del Poder Judicial de la Federación (TEPJF), con la presencia del m</w:t>
      </w:r>
      <w:r w:rsidRPr="008B072A">
        <w:rPr>
          <w:rFonts w:ascii="Arial" w:hAnsi="Arial" w:cs="Arial"/>
          <w:lang w:eastAsia="es-MX"/>
        </w:rPr>
        <w:t xml:space="preserve">agistrado presidente </w:t>
      </w:r>
      <w:r>
        <w:rPr>
          <w:rFonts w:ascii="Arial" w:hAnsi="Arial" w:cs="Arial"/>
          <w:lang w:eastAsia="es-MX"/>
        </w:rPr>
        <w:t xml:space="preserve">de la Sala Superior, </w:t>
      </w:r>
      <w:r w:rsidRPr="008B072A">
        <w:rPr>
          <w:rFonts w:ascii="Arial" w:hAnsi="Arial" w:cs="Arial"/>
          <w:lang w:eastAsia="es-MX"/>
        </w:rPr>
        <w:t>Felipe Alfredo Fuentes Barrera</w:t>
      </w:r>
      <w:r>
        <w:rPr>
          <w:rFonts w:ascii="Arial" w:hAnsi="Arial" w:cs="Arial"/>
          <w:lang w:eastAsia="es-MX"/>
        </w:rPr>
        <w:t xml:space="preserve">; así como </w:t>
      </w:r>
      <w:r w:rsidR="00C169F6">
        <w:rPr>
          <w:rFonts w:ascii="Arial" w:hAnsi="Arial" w:cs="Arial"/>
          <w:lang w:eastAsia="es-MX"/>
        </w:rPr>
        <w:t xml:space="preserve">de </w:t>
      </w:r>
      <w:r>
        <w:rPr>
          <w:rFonts w:ascii="Arial" w:hAnsi="Arial" w:cs="Arial"/>
          <w:lang w:eastAsia="es-MX"/>
        </w:rPr>
        <w:t xml:space="preserve">la consejera del Instituto Nacional Electoral (INE) </w:t>
      </w:r>
      <w:r w:rsidRPr="008B072A">
        <w:rPr>
          <w:rFonts w:ascii="Arial" w:hAnsi="Arial" w:cs="Arial"/>
          <w:lang w:eastAsia="es-MX"/>
        </w:rPr>
        <w:t>y presidenta de la Asociación de Magistradas Electorales de las Américas</w:t>
      </w:r>
      <w:r>
        <w:rPr>
          <w:rFonts w:ascii="Arial" w:hAnsi="Arial" w:cs="Arial"/>
          <w:lang w:eastAsia="es-MX"/>
        </w:rPr>
        <w:t xml:space="preserve">, </w:t>
      </w:r>
      <w:r w:rsidRPr="008B072A">
        <w:rPr>
          <w:rFonts w:ascii="Arial" w:hAnsi="Arial" w:cs="Arial"/>
          <w:lang w:eastAsia="es-MX"/>
        </w:rPr>
        <w:t>Adriana Margarita Favela Herrera</w:t>
      </w:r>
      <w:r>
        <w:rPr>
          <w:rFonts w:ascii="Arial" w:hAnsi="Arial" w:cs="Arial"/>
          <w:lang w:eastAsia="es-MX"/>
        </w:rPr>
        <w:t xml:space="preserve">, quienes </w:t>
      </w:r>
      <w:r w:rsidR="00432674">
        <w:rPr>
          <w:rFonts w:ascii="Arial" w:hAnsi="Arial" w:cs="Arial"/>
          <w:lang w:eastAsia="es-MX"/>
        </w:rPr>
        <w:t xml:space="preserve">firmaron como testigos de honor, al pertenecer a instituciones de índole nacional con experiencia y diversos antecedentes de acciones afirmativas. </w:t>
      </w:r>
      <w:r>
        <w:rPr>
          <w:rFonts w:ascii="Arial" w:hAnsi="Arial" w:cs="Arial"/>
          <w:lang w:eastAsia="es-MX"/>
        </w:rPr>
        <w:t xml:space="preserve"> </w:t>
      </w:r>
    </w:p>
    <w:p w:rsidR="00AD7CB2" w:rsidRDefault="00AD7CB2" w:rsidP="00256A92">
      <w:pPr>
        <w:rPr>
          <w:rFonts w:ascii="Arial" w:hAnsi="Arial" w:cs="Arial"/>
          <w:lang w:eastAsia="es-MX"/>
        </w:rPr>
      </w:pPr>
    </w:p>
    <w:p w:rsidR="008B072A" w:rsidRDefault="00021474" w:rsidP="00256A92">
      <w:pPr>
        <w:rPr>
          <w:rFonts w:ascii="Arial" w:hAnsi="Arial" w:cs="Arial"/>
          <w:lang w:eastAsia="es-MX"/>
        </w:rPr>
      </w:pPr>
      <w:r>
        <w:rPr>
          <w:rFonts w:ascii="Arial" w:hAnsi="Arial" w:cs="Arial"/>
          <w:lang w:eastAsia="es-MX"/>
        </w:rPr>
        <w:t xml:space="preserve">A través de la mesa de diálogo </w:t>
      </w:r>
      <w:r w:rsidRPr="00021474">
        <w:rPr>
          <w:rFonts w:ascii="Arial" w:hAnsi="Arial" w:cs="Arial"/>
          <w:lang w:eastAsia="es-MX"/>
        </w:rPr>
        <w:t xml:space="preserve">“Políticas </w:t>
      </w:r>
      <w:r w:rsidRPr="003901DA">
        <w:rPr>
          <w:rFonts w:ascii="Arial" w:hAnsi="Arial" w:cs="Arial"/>
          <w:lang w:eastAsia="es-MX"/>
        </w:rPr>
        <w:t xml:space="preserve">públicas a favor de los grupos vulnerables”, IVAI, OPLE, IVM, CEDH, SIPINNA, DIF, CEEAIV y </w:t>
      </w:r>
      <w:proofErr w:type="spellStart"/>
      <w:r w:rsidRPr="003901DA">
        <w:rPr>
          <w:rFonts w:ascii="Arial" w:hAnsi="Arial" w:cs="Arial"/>
          <w:lang w:eastAsia="es-MX"/>
        </w:rPr>
        <w:t>Aveli</w:t>
      </w:r>
      <w:proofErr w:type="spellEnd"/>
      <w:r w:rsidRPr="003901DA">
        <w:rPr>
          <w:rFonts w:ascii="Arial" w:hAnsi="Arial" w:cs="Arial"/>
          <w:lang w:eastAsia="es-MX"/>
        </w:rPr>
        <w:t xml:space="preserve">, moderados por la consejera Adriana Favela, hablaron de la importancia del tema y de </w:t>
      </w:r>
      <w:r w:rsidR="003D5625" w:rsidRPr="003901DA">
        <w:rPr>
          <w:rFonts w:ascii="Arial" w:hAnsi="Arial" w:cs="Arial"/>
          <w:lang w:eastAsia="es-MX"/>
        </w:rPr>
        <w:t>los motivos que llevaron a</w:t>
      </w:r>
      <w:r w:rsidRPr="003901DA">
        <w:rPr>
          <w:rFonts w:ascii="Arial" w:hAnsi="Arial" w:cs="Arial"/>
          <w:lang w:eastAsia="es-MX"/>
        </w:rPr>
        <w:t xml:space="preserve"> firmar el convenio de colaboración. </w:t>
      </w:r>
      <w:r w:rsidR="003901DA" w:rsidRPr="003901DA">
        <w:rPr>
          <w:rFonts w:ascii="Arial" w:hAnsi="Arial" w:cs="Arial"/>
          <w:lang w:eastAsia="es-MX"/>
        </w:rPr>
        <w:t xml:space="preserve">Entre otras cosas, se expresó que </w:t>
      </w:r>
      <w:r w:rsidR="003901DA" w:rsidRPr="003901DA">
        <w:rPr>
          <w:rFonts w:ascii="Arial" w:hAnsi="Arial" w:cs="Arial"/>
          <w:lang w:eastAsia="es-MX"/>
        </w:rPr>
        <w:t>pese a tener marcos normativos más sólidos</w:t>
      </w:r>
      <w:r w:rsidR="003901DA" w:rsidRPr="003901DA">
        <w:rPr>
          <w:rFonts w:ascii="Arial" w:hAnsi="Arial" w:cs="Arial"/>
          <w:lang w:eastAsia="es-MX"/>
        </w:rPr>
        <w:t>, no se ha logrado la igualdad y la equidad, no se está cumpliendo con los postulados y la protección que brinda la Carta Magna a los grupos en situación de vulnerabilidad.</w:t>
      </w:r>
      <w:r w:rsidR="003901DA">
        <w:rPr>
          <w:rFonts w:ascii="Arial" w:hAnsi="Arial" w:cs="Arial"/>
          <w:lang w:eastAsia="es-MX"/>
        </w:rPr>
        <w:t xml:space="preserve"> </w:t>
      </w:r>
    </w:p>
    <w:p w:rsidR="00224947" w:rsidRDefault="00224947" w:rsidP="00256A92">
      <w:pPr>
        <w:rPr>
          <w:rFonts w:ascii="Arial" w:hAnsi="Arial" w:cs="Arial"/>
          <w:lang w:eastAsia="es-MX"/>
        </w:rPr>
      </w:pPr>
    </w:p>
    <w:p w:rsidR="003901DA" w:rsidRDefault="00C44F39" w:rsidP="00256A92">
      <w:pPr>
        <w:rPr>
          <w:rFonts w:ascii="Arial" w:hAnsi="Arial" w:cs="Arial"/>
          <w:lang w:eastAsia="es-MX"/>
        </w:rPr>
      </w:pPr>
      <w:r>
        <w:rPr>
          <w:rFonts w:ascii="Arial" w:hAnsi="Arial" w:cs="Arial"/>
          <w:lang w:eastAsia="es-MX"/>
        </w:rPr>
        <w:t xml:space="preserve">Además de reconocer la deuda que tienen las </w:t>
      </w:r>
      <w:r w:rsidR="00224947">
        <w:rPr>
          <w:rFonts w:ascii="Arial" w:hAnsi="Arial" w:cs="Arial"/>
          <w:lang w:eastAsia="es-MX"/>
        </w:rPr>
        <w:t xml:space="preserve">instituciones </w:t>
      </w:r>
      <w:r>
        <w:rPr>
          <w:rFonts w:ascii="Arial" w:hAnsi="Arial" w:cs="Arial"/>
          <w:lang w:eastAsia="es-MX"/>
        </w:rPr>
        <w:t xml:space="preserve">con diversos sectores, </w:t>
      </w:r>
      <w:r w:rsidR="00224947">
        <w:rPr>
          <w:rFonts w:ascii="Arial" w:hAnsi="Arial" w:cs="Arial"/>
          <w:lang w:eastAsia="es-MX"/>
        </w:rPr>
        <w:t xml:space="preserve">externaron su disposición a romper las barreras </w:t>
      </w:r>
      <w:r w:rsidR="00D6403D">
        <w:rPr>
          <w:rFonts w:ascii="Arial" w:hAnsi="Arial" w:cs="Arial"/>
          <w:lang w:eastAsia="es-MX"/>
        </w:rPr>
        <w:t xml:space="preserve">que llevaron a la exclusión y discriminación de </w:t>
      </w:r>
      <w:r w:rsidR="00C169F6">
        <w:rPr>
          <w:rFonts w:ascii="Arial" w:hAnsi="Arial" w:cs="Arial"/>
          <w:lang w:eastAsia="es-MX"/>
        </w:rPr>
        <w:t xml:space="preserve">las </w:t>
      </w:r>
      <w:r w:rsidR="00D6403D">
        <w:rPr>
          <w:rFonts w:ascii="Arial" w:hAnsi="Arial" w:cs="Arial"/>
          <w:lang w:eastAsia="es-MX"/>
        </w:rPr>
        <w:t>personas</w:t>
      </w:r>
      <w:r w:rsidR="00E55EAC">
        <w:rPr>
          <w:rFonts w:ascii="Arial" w:hAnsi="Arial" w:cs="Arial"/>
          <w:lang w:eastAsia="es-MX"/>
        </w:rPr>
        <w:t>;</w:t>
      </w:r>
      <w:r w:rsidR="00D6403D">
        <w:rPr>
          <w:rFonts w:ascii="Arial" w:hAnsi="Arial" w:cs="Arial"/>
          <w:lang w:eastAsia="es-MX"/>
        </w:rPr>
        <w:t xml:space="preserve"> a luchar porque todos se incorpore</w:t>
      </w:r>
      <w:r w:rsidR="009424D1">
        <w:rPr>
          <w:rFonts w:ascii="Arial" w:hAnsi="Arial" w:cs="Arial"/>
          <w:lang w:eastAsia="es-MX"/>
        </w:rPr>
        <w:t>n</w:t>
      </w:r>
      <w:r w:rsidR="00D6403D">
        <w:rPr>
          <w:rFonts w:ascii="Arial" w:hAnsi="Arial" w:cs="Arial"/>
          <w:lang w:eastAsia="es-MX"/>
        </w:rPr>
        <w:t xml:space="preserve"> y participen plenamente en la vi</w:t>
      </w:r>
      <w:r w:rsidR="00E55EAC">
        <w:rPr>
          <w:rFonts w:ascii="Arial" w:hAnsi="Arial" w:cs="Arial"/>
          <w:lang w:eastAsia="es-MX"/>
        </w:rPr>
        <w:t>da económica, social y cultural</w:t>
      </w:r>
      <w:r w:rsidR="009424D1">
        <w:rPr>
          <w:rFonts w:ascii="Arial" w:hAnsi="Arial" w:cs="Arial"/>
          <w:lang w:eastAsia="es-MX"/>
        </w:rPr>
        <w:t>;</w:t>
      </w:r>
      <w:r w:rsidR="00E55EAC">
        <w:rPr>
          <w:rFonts w:ascii="Arial" w:hAnsi="Arial" w:cs="Arial"/>
          <w:lang w:eastAsia="es-MX"/>
        </w:rPr>
        <w:t xml:space="preserve"> y a no realizar esfuerzos aislados y apostar por el trabajo colaborativo</w:t>
      </w:r>
      <w:r w:rsidR="00170B6B">
        <w:rPr>
          <w:rFonts w:ascii="Arial" w:hAnsi="Arial" w:cs="Arial"/>
          <w:lang w:eastAsia="es-MX"/>
        </w:rPr>
        <w:t xml:space="preserve"> para llev</w:t>
      </w:r>
      <w:r>
        <w:rPr>
          <w:rFonts w:ascii="Arial" w:hAnsi="Arial" w:cs="Arial"/>
          <w:lang w:eastAsia="es-MX"/>
        </w:rPr>
        <w:t>ar a cabo estrategias c</w:t>
      </w:r>
      <w:r w:rsidR="0076636E">
        <w:rPr>
          <w:rFonts w:ascii="Arial" w:hAnsi="Arial" w:cs="Arial"/>
          <w:lang w:eastAsia="es-MX"/>
        </w:rPr>
        <w:t xml:space="preserve">onjuntas en torno a la </w:t>
      </w:r>
      <w:r w:rsidR="009424D1">
        <w:rPr>
          <w:rFonts w:ascii="Arial" w:hAnsi="Arial" w:cs="Arial"/>
          <w:lang w:eastAsia="es-MX"/>
        </w:rPr>
        <w:t>protección de datos personales</w:t>
      </w:r>
      <w:r w:rsidR="0076636E">
        <w:rPr>
          <w:rFonts w:ascii="Arial" w:hAnsi="Arial" w:cs="Arial"/>
          <w:lang w:eastAsia="es-MX"/>
        </w:rPr>
        <w:t xml:space="preserve">, </w:t>
      </w:r>
      <w:r w:rsidR="009424D1">
        <w:rPr>
          <w:rFonts w:ascii="Arial" w:hAnsi="Arial" w:cs="Arial"/>
          <w:lang w:eastAsia="es-MX"/>
        </w:rPr>
        <w:t>la transparenc</w:t>
      </w:r>
      <w:r w:rsidR="0076636E">
        <w:rPr>
          <w:rFonts w:ascii="Arial" w:hAnsi="Arial" w:cs="Arial"/>
          <w:lang w:eastAsia="es-MX"/>
        </w:rPr>
        <w:t>ia, la rendición de cuentas y el acceso a la información.</w:t>
      </w:r>
    </w:p>
    <w:p w:rsidR="0076636E" w:rsidRDefault="0076636E" w:rsidP="0076636E">
      <w:pPr>
        <w:ind w:left="708" w:hanging="708"/>
        <w:rPr>
          <w:rFonts w:ascii="Arial" w:hAnsi="Arial" w:cs="Arial"/>
          <w:lang w:eastAsia="es-MX"/>
        </w:rPr>
      </w:pPr>
    </w:p>
    <w:p w:rsidR="008B072A" w:rsidRDefault="00883078" w:rsidP="00883078">
      <w:pPr>
        <w:rPr>
          <w:rFonts w:ascii="Arial" w:hAnsi="Arial" w:cs="Arial"/>
          <w:lang w:eastAsia="es-MX"/>
        </w:rPr>
      </w:pPr>
      <w:r>
        <w:rPr>
          <w:rFonts w:ascii="Arial" w:hAnsi="Arial" w:cs="Arial"/>
          <w:lang w:eastAsia="es-MX"/>
        </w:rPr>
        <w:t xml:space="preserve">Por su parte, la consejera </w:t>
      </w:r>
      <w:r w:rsidR="00192B59">
        <w:rPr>
          <w:rFonts w:ascii="Arial" w:hAnsi="Arial" w:cs="Arial"/>
          <w:lang w:eastAsia="es-MX"/>
        </w:rPr>
        <w:t xml:space="preserve">destacó que las instituciones </w:t>
      </w:r>
      <w:r w:rsidR="00533CA2">
        <w:rPr>
          <w:rFonts w:ascii="Arial" w:hAnsi="Arial" w:cs="Arial"/>
          <w:lang w:eastAsia="es-MX"/>
        </w:rPr>
        <w:t>participantes</w:t>
      </w:r>
      <w:r w:rsidR="00192B59">
        <w:rPr>
          <w:rFonts w:ascii="Arial" w:hAnsi="Arial" w:cs="Arial"/>
          <w:lang w:eastAsia="es-MX"/>
        </w:rPr>
        <w:t xml:space="preserve"> </w:t>
      </w:r>
      <w:r w:rsidR="00C169F6">
        <w:rPr>
          <w:rFonts w:ascii="Arial" w:hAnsi="Arial" w:cs="Arial"/>
          <w:lang w:eastAsia="es-MX"/>
        </w:rPr>
        <w:t xml:space="preserve">daban </w:t>
      </w:r>
      <w:r w:rsidR="00192B59">
        <w:rPr>
          <w:rFonts w:ascii="Arial" w:hAnsi="Arial" w:cs="Arial"/>
          <w:lang w:eastAsia="es-MX"/>
        </w:rPr>
        <w:t xml:space="preserve">muestra de su compromiso </w:t>
      </w:r>
      <w:r w:rsidR="00533CA2">
        <w:rPr>
          <w:rFonts w:ascii="Arial" w:hAnsi="Arial" w:cs="Arial"/>
          <w:lang w:eastAsia="es-MX"/>
        </w:rPr>
        <w:t>y enfatizó la necesidad de seguir fomentando</w:t>
      </w:r>
      <w:r w:rsidR="00012415">
        <w:rPr>
          <w:rFonts w:ascii="Arial" w:hAnsi="Arial" w:cs="Arial"/>
          <w:lang w:eastAsia="es-MX"/>
        </w:rPr>
        <w:t xml:space="preserve"> la cultura de respeto de los derechos humanos, </w:t>
      </w:r>
      <w:r w:rsidR="00C169F6">
        <w:rPr>
          <w:rFonts w:ascii="Arial" w:hAnsi="Arial" w:cs="Arial"/>
          <w:lang w:eastAsia="es-MX"/>
        </w:rPr>
        <w:t xml:space="preserve">de difundir </w:t>
      </w:r>
      <w:r w:rsidR="00012415">
        <w:rPr>
          <w:rFonts w:ascii="Arial" w:hAnsi="Arial" w:cs="Arial"/>
          <w:lang w:eastAsia="es-MX"/>
        </w:rPr>
        <w:t xml:space="preserve">información para que </w:t>
      </w:r>
      <w:r w:rsidR="00533CA2">
        <w:rPr>
          <w:rFonts w:ascii="Arial" w:hAnsi="Arial" w:cs="Arial"/>
          <w:lang w:eastAsia="es-MX"/>
        </w:rPr>
        <w:lastRenderedPageBreak/>
        <w:t xml:space="preserve">las personas </w:t>
      </w:r>
      <w:r w:rsidR="00012415">
        <w:rPr>
          <w:rFonts w:ascii="Arial" w:hAnsi="Arial" w:cs="Arial"/>
          <w:lang w:eastAsia="es-MX"/>
        </w:rPr>
        <w:t>sepan cómo ejercer</w:t>
      </w:r>
      <w:r w:rsidR="00C169F6">
        <w:rPr>
          <w:rFonts w:ascii="Arial" w:hAnsi="Arial" w:cs="Arial"/>
          <w:lang w:eastAsia="es-MX"/>
        </w:rPr>
        <w:t xml:space="preserve">los </w:t>
      </w:r>
      <w:r w:rsidR="00012415">
        <w:rPr>
          <w:rFonts w:ascii="Arial" w:hAnsi="Arial" w:cs="Arial"/>
          <w:lang w:eastAsia="es-MX"/>
        </w:rPr>
        <w:t xml:space="preserve">y a qué instituciones </w:t>
      </w:r>
      <w:r w:rsidR="00B314E3">
        <w:rPr>
          <w:rFonts w:ascii="Arial" w:hAnsi="Arial" w:cs="Arial"/>
          <w:lang w:eastAsia="es-MX"/>
        </w:rPr>
        <w:t xml:space="preserve">acudir; y </w:t>
      </w:r>
      <w:r w:rsidR="00C169F6">
        <w:rPr>
          <w:rFonts w:ascii="Arial" w:hAnsi="Arial" w:cs="Arial"/>
          <w:lang w:eastAsia="es-MX"/>
        </w:rPr>
        <w:t xml:space="preserve">acercarse </w:t>
      </w:r>
      <w:r w:rsidR="00B314E3">
        <w:rPr>
          <w:rFonts w:ascii="Arial" w:hAnsi="Arial" w:cs="Arial"/>
          <w:lang w:eastAsia="es-MX"/>
        </w:rPr>
        <w:t xml:space="preserve">a los grupos vulnerables para conocer sus necesidades. Finalizó subrayando que todos los individuos pueden participar ya que </w:t>
      </w:r>
      <w:r w:rsidR="00533CA2">
        <w:rPr>
          <w:rFonts w:ascii="Arial" w:hAnsi="Arial" w:cs="Arial"/>
          <w:lang w:eastAsia="es-MX"/>
        </w:rPr>
        <w:t xml:space="preserve">son parte de la solución para tener una sociedad incluyente. </w:t>
      </w:r>
    </w:p>
    <w:p w:rsidR="00545194" w:rsidRDefault="00545194" w:rsidP="00883078">
      <w:pPr>
        <w:rPr>
          <w:rFonts w:ascii="Arial" w:hAnsi="Arial" w:cs="Arial"/>
          <w:lang w:eastAsia="es-MX"/>
        </w:rPr>
      </w:pPr>
    </w:p>
    <w:p w:rsidR="00545194" w:rsidRDefault="00545194" w:rsidP="00545194">
      <w:pPr>
        <w:rPr>
          <w:rFonts w:ascii="Arial" w:hAnsi="Arial" w:cs="Arial"/>
          <w:lang w:eastAsia="es-MX"/>
        </w:rPr>
      </w:pPr>
      <w:r>
        <w:rPr>
          <w:rFonts w:ascii="Arial" w:hAnsi="Arial" w:cs="Arial"/>
          <w:lang w:eastAsia="es-MX"/>
        </w:rPr>
        <w:t xml:space="preserve">Posteriormente, el magistrado </w:t>
      </w:r>
      <w:r w:rsidRPr="00545194">
        <w:rPr>
          <w:rFonts w:ascii="Arial" w:hAnsi="Arial" w:cs="Arial"/>
          <w:lang w:eastAsia="es-MX"/>
        </w:rPr>
        <w:t>Felipe Alfredo Fuentes Barrera</w:t>
      </w:r>
      <w:r>
        <w:rPr>
          <w:rFonts w:ascii="Arial" w:hAnsi="Arial" w:cs="Arial"/>
          <w:lang w:eastAsia="es-MX"/>
        </w:rPr>
        <w:t xml:space="preserve"> </w:t>
      </w:r>
      <w:r w:rsidR="00A57360">
        <w:rPr>
          <w:rFonts w:ascii="Arial" w:hAnsi="Arial" w:cs="Arial"/>
          <w:lang w:eastAsia="es-MX"/>
        </w:rPr>
        <w:t>impartió la conferencia magistral</w:t>
      </w:r>
      <w:r w:rsidRPr="00545194">
        <w:rPr>
          <w:rFonts w:ascii="Arial" w:hAnsi="Arial" w:cs="Arial"/>
          <w:lang w:eastAsia="es-MX"/>
        </w:rPr>
        <w:t xml:space="preserve"> “Retos que ha enfrentado el TEPJF para apoyar el ejercicio de los derechos políticos de los grupos vulnerables”</w:t>
      </w:r>
      <w:r w:rsidR="00A57360">
        <w:rPr>
          <w:rFonts w:ascii="Arial" w:hAnsi="Arial" w:cs="Arial"/>
          <w:lang w:eastAsia="es-MX"/>
        </w:rPr>
        <w:t>, donde fue presentado por el m</w:t>
      </w:r>
      <w:r w:rsidRPr="00545194">
        <w:rPr>
          <w:rFonts w:ascii="Arial" w:hAnsi="Arial" w:cs="Arial"/>
          <w:lang w:eastAsia="es-MX"/>
        </w:rPr>
        <w:t>agistrado p</w:t>
      </w:r>
      <w:r w:rsidR="00A57360">
        <w:rPr>
          <w:rFonts w:ascii="Arial" w:hAnsi="Arial" w:cs="Arial"/>
          <w:lang w:eastAsia="es-MX"/>
        </w:rPr>
        <w:t>residente de la Sala Xalapa de este organismo,</w:t>
      </w:r>
      <w:r w:rsidR="00A57360" w:rsidRPr="00545194">
        <w:rPr>
          <w:rFonts w:ascii="Arial" w:hAnsi="Arial" w:cs="Arial"/>
          <w:lang w:eastAsia="es-MX"/>
        </w:rPr>
        <w:t xml:space="preserve"> Enrique Figueroa Ávila.</w:t>
      </w:r>
    </w:p>
    <w:p w:rsidR="00A57360" w:rsidRDefault="00A57360" w:rsidP="00545194">
      <w:pPr>
        <w:rPr>
          <w:rFonts w:ascii="Arial" w:hAnsi="Arial" w:cs="Arial"/>
          <w:lang w:eastAsia="es-MX"/>
        </w:rPr>
      </w:pPr>
    </w:p>
    <w:p w:rsidR="00A57360" w:rsidRDefault="00A57360" w:rsidP="00545194">
      <w:pPr>
        <w:rPr>
          <w:rFonts w:ascii="Arial" w:hAnsi="Arial" w:cs="Arial"/>
          <w:lang w:eastAsia="es-MX"/>
        </w:rPr>
      </w:pPr>
      <w:proofErr w:type="gramStart"/>
      <w:r>
        <w:rPr>
          <w:rFonts w:ascii="Arial" w:hAnsi="Arial" w:cs="Arial"/>
          <w:lang w:eastAsia="es-MX"/>
        </w:rPr>
        <w:t>El</w:t>
      </w:r>
      <w:proofErr w:type="gramEnd"/>
      <w:r>
        <w:rPr>
          <w:rFonts w:ascii="Arial" w:hAnsi="Arial" w:cs="Arial"/>
          <w:lang w:eastAsia="es-MX"/>
        </w:rPr>
        <w:t xml:space="preserve"> Dr. </w:t>
      </w:r>
      <w:r w:rsidRPr="00545194">
        <w:rPr>
          <w:rFonts w:ascii="Arial" w:hAnsi="Arial" w:cs="Arial"/>
          <w:lang w:eastAsia="es-MX"/>
        </w:rPr>
        <w:t>Fuentes Barrera</w:t>
      </w:r>
      <w:r>
        <w:rPr>
          <w:rFonts w:ascii="Arial" w:hAnsi="Arial" w:cs="Arial"/>
          <w:lang w:eastAsia="es-MX"/>
        </w:rPr>
        <w:t xml:space="preserve"> </w:t>
      </w:r>
      <w:r w:rsidR="00670297">
        <w:rPr>
          <w:rFonts w:ascii="Arial" w:hAnsi="Arial" w:cs="Arial"/>
          <w:lang w:eastAsia="es-MX"/>
        </w:rPr>
        <w:t xml:space="preserve">analizó cómo debe entenderse un grupo social en situación de vulnerabilidad y señaló criterios de la Suprema Corte de Justicia de la Nación donde se refiere que son aquellos que </w:t>
      </w:r>
      <w:r w:rsidR="00C41AE3">
        <w:rPr>
          <w:rFonts w:ascii="Arial" w:hAnsi="Arial" w:cs="Arial"/>
          <w:lang w:eastAsia="es-MX"/>
        </w:rPr>
        <w:t xml:space="preserve">por diferentes factores </w:t>
      </w:r>
      <w:r w:rsidR="00670297">
        <w:rPr>
          <w:rFonts w:ascii="Arial" w:hAnsi="Arial" w:cs="Arial"/>
          <w:lang w:eastAsia="es-MX"/>
        </w:rPr>
        <w:t xml:space="preserve">enfrentan situaciones de riesgo o discriminación que les impiden alcanzar mejores niveles de vida y que, por tanto, requieren la intervención y acción del gobierno para lograr su bienestar. </w:t>
      </w:r>
    </w:p>
    <w:p w:rsidR="00C41AE3" w:rsidRDefault="00C41AE3" w:rsidP="00545194">
      <w:pPr>
        <w:rPr>
          <w:rFonts w:ascii="Arial" w:hAnsi="Arial" w:cs="Arial"/>
          <w:lang w:eastAsia="es-MX"/>
        </w:rPr>
      </w:pPr>
    </w:p>
    <w:p w:rsidR="00C41AE3" w:rsidRDefault="005A7CCE" w:rsidP="00545194">
      <w:pPr>
        <w:rPr>
          <w:rFonts w:ascii="Arial" w:hAnsi="Arial" w:cs="Arial"/>
          <w:lang w:eastAsia="es-MX"/>
        </w:rPr>
      </w:pPr>
      <w:r>
        <w:rPr>
          <w:rFonts w:ascii="Arial" w:hAnsi="Arial" w:cs="Arial"/>
          <w:lang w:eastAsia="es-MX"/>
        </w:rPr>
        <w:t xml:space="preserve">De ahí que recalcó la importancia de este evento como muestra del compromiso </w:t>
      </w:r>
      <w:r w:rsidR="00C169F6">
        <w:rPr>
          <w:rFonts w:ascii="Arial" w:hAnsi="Arial" w:cs="Arial"/>
          <w:lang w:eastAsia="es-MX"/>
        </w:rPr>
        <w:t xml:space="preserve">para </w:t>
      </w:r>
      <w:r>
        <w:rPr>
          <w:rFonts w:ascii="Arial" w:hAnsi="Arial" w:cs="Arial"/>
          <w:lang w:eastAsia="es-MX"/>
        </w:rPr>
        <w:t>velar que los derechos de las personas que históricamente se encuentran en condición de vulnerabilidad sean una realidad</w:t>
      </w:r>
      <w:r w:rsidR="00E47793">
        <w:rPr>
          <w:rFonts w:ascii="Arial" w:hAnsi="Arial" w:cs="Arial"/>
          <w:lang w:eastAsia="es-MX"/>
        </w:rPr>
        <w:t xml:space="preserve"> e hizo referencia a diversas sentencias emitidas por el TEPFJ relacionadas con estos casos. Concluyó que las instituciones son las que tienen que adaptarse a las personas con discapacidad y no a la inversa. </w:t>
      </w:r>
    </w:p>
    <w:p w:rsidR="00EC0431" w:rsidRDefault="00EC0431" w:rsidP="00545194">
      <w:pPr>
        <w:rPr>
          <w:rFonts w:ascii="Arial" w:hAnsi="Arial" w:cs="Arial"/>
          <w:lang w:eastAsia="es-MX"/>
        </w:rPr>
      </w:pPr>
    </w:p>
    <w:p w:rsidR="00DF25E9" w:rsidRDefault="00EC0431" w:rsidP="00DF25E9">
      <w:pPr>
        <w:rPr>
          <w:rFonts w:ascii="Arial" w:hAnsi="Arial" w:cs="Arial"/>
          <w:lang w:eastAsia="es-MX"/>
        </w:rPr>
      </w:pPr>
      <w:r>
        <w:rPr>
          <w:rFonts w:ascii="Arial" w:hAnsi="Arial" w:cs="Arial"/>
          <w:lang w:eastAsia="es-MX"/>
        </w:rPr>
        <w:t xml:space="preserve">Tras este cónclave para el análisis y suma de esfuerzos, </w:t>
      </w:r>
      <w:r w:rsidR="00DF25E9">
        <w:rPr>
          <w:rFonts w:ascii="Arial" w:hAnsi="Arial" w:cs="Arial"/>
          <w:lang w:eastAsia="es-MX"/>
        </w:rPr>
        <w:t xml:space="preserve">el objetivo será </w:t>
      </w:r>
      <w:r w:rsidR="00DF25E9" w:rsidRPr="004229F9">
        <w:rPr>
          <w:rFonts w:ascii="Arial" w:hAnsi="Arial" w:cs="Arial"/>
          <w:lang w:eastAsia="es-MX"/>
        </w:rPr>
        <w:t>establecer bases y mecanismos operativos para coordinar la ejecución de diversas estrategias y actividades</w:t>
      </w:r>
      <w:r w:rsidR="00DF25E9">
        <w:rPr>
          <w:rFonts w:ascii="Arial" w:hAnsi="Arial" w:cs="Arial"/>
          <w:lang w:eastAsia="es-MX"/>
        </w:rPr>
        <w:t xml:space="preserve"> </w:t>
      </w:r>
      <w:r w:rsidR="00DF25E9" w:rsidRPr="004229F9">
        <w:rPr>
          <w:rFonts w:ascii="Arial" w:hAnsi="Arial" w:cs="Arial"/>
          <w:lang w:eastAsia="es-MX"/>
        </w:rPr>
        <w:t>dirigidas a la promoción del ejercicio de los derechos de acceso a la información y protección</w:t>
      </w:r>
      <w:r w:rsidR="00DF25E9">
        <w:rPr>
          <w:rFonts w:ascii="Arial" w:hAnsi="Arial" w:cs="Arial"/>
          <w:lang w:eastAsia="es-MX"/>
        </w:rPr>
        <w:t xml:space="preserve"> </w:t>
      </w:r>
      <w:r w:rsidR="00DF25E9" w:rsidRPr="004229F9">
        <w:rPr>
          <w:rFonts w:ascii="Arial" w:hAnsi="Arial" w:cs="Arial"/>
          <w:lang w:eastAsia="es-MX"/>
        </w:rPr>
        <w:t>de datos personales para los grupos que puedan estar en situación de vulnerabilidad</w:t>
      </w:r>
      <w:r w:rsidR="00DF25E9">
        <w:rPr>
          <w:rFonts w:ascii="Arial" w:hAnsi="Arial" w:cs="Arial"/>
          <w:lang w:eastAsia="es-MX"/>
        </w:rPr>
        <w:t xml:space="preserve">. Conforme a las </w:t>
      </w:r>
      <w:r w:rsidR="00DF25E9" w:rsidRPr="004229F9">
        <w:rPr>
          <w:rFonts w:ascii="Arial" w:hAnsi="Arial" w:cs="Arial"/>
          <w:lang w:eastAsia="es-MX"/>
        </w:rPr>
        <w:t>atribuciones</w:t>
      </w:r>
      <w:r w:rsidR="00DF25E9">
        <w:rPr>
          <w:rFonts w:ascii="Arial" w:hAnsi="Arial" w:cs="Arial"/>
          <w:lang w:eastAsia="es-MX"/>
        </w:rPr>
        <w:t xml:space="preserve"> y capacidades de cada organismo, realizarán </w:t>
      </w:r>
      <w:r w:rsidR="00DF25E9" w:rsidRPr="004229F9">
        <w:rPr>
          <w:rFonts w:ascii="Arial" w:hAnsi="Arial" w:cs="Arial"/>
          <w:lang w:eastAsia="es-MX"/>
        </w:rPr>
        <w:t>actividades de difusión, académicas y culturales.</w:t>
      </w:r>
    </w:p>
    <w:p w:rsidR="00EC0431" w:rsidRPr="00EC0431" w:rsidRDefault="00EC0431" w:rsidP="00DF25E9">
      <w:pPr>
        <w:rPr>
          <w:rFonts w:ascii="Arial" w:hAnsi="Arial" w:cs="Arial"/>
          <w:lang w:eastAsia="es-MX"/>
        </w:rPr>
      </w:pPr>
    </w:p>
    <w:p w:rsidR="00DC67ED" w:rsidRDefault="007C320C" w:rsidP="00F37009">
      <w:pPr>
        <w:rPr>
          <w:rFonts w:ascii="Arial" w:hAnsi="Arial" w:cs="Arial"/>
          <w:lang w:eastAsia="es-MX"/>
        </w:rPr>
      </w:pPr>
      <w:r>
        <w:rPr>
          <w:rFonts w:ascii="Arial" w:hAnsi="Arial" w:cs="Arial"/>
          <w:lang w:eastAsia="es-MX"/>
        </w:rPr>
        <w:t>Asimismo, buscará</w:t>
      </w:r>
      <w:r w:rsidR="003A0868">
        <w:rPr>
          <w:rFonts w:ascii="Arial" w:hAnsi="Arial" w:cs="Arial"/>
          <w:lang w:eastAsia="es-MX"/>
        </w:rPr>
        <w:t>n</w:t>
      </w:r>
      <w:r>
        <w:rPr>
          <w:rFonts w:ascii="Arial" w:hAnsi="Arial" w:cs="Arial"/>
          <w:lang w:eastAsia="es-MX"/>
        </w:rPr>
        <w:t xml:space="preserve"> e</w:t>
      </w:r>
      <w:r w:rsidRPr="007C320C">
        <w:rPr>
          <w:rFonts w:ascii="Arial" w:hAnsi="Arial" w:cs="Arial"/>
          <w:lang w:eastAsia="es-MX"/>
        </w:rPr>
        <w:t>laborar</w:t>
      </w:r>
      <w:r w:rsidR="00F37009">
        <w:rPr>
          <w:rFonts w:ascii="Arial" w:hAnsi="Arial" w:cs="Arial"/>
          <w:lang w:eastAsia="es-MX"/>
        </w:rPr>
        <w:t xml:space="preserve"> y difundir</w:t>
      </w:r>
      <w:r w:rsidRPr="007C320C">
        <w:rPr>
          <w:rFonts w:ascii="Arial" w:hAnsi="Arial" w:cs="Arial"/>
          <w:lang w:eastAsia="es-MX"/>
        </w:rPr>
        <w:t xml:space="preserve"> de manera conjunta materiales impresos, sonoros y digitales de divulgación</w:t>
      </w:r>
      <w:r w:rsidR="00FA40A4">
        <w:rPr>
          <w:rFonts w:ascii="Arial" w:hAnsi="Arial" w:cs="Arial"/>
          <w:lang w:eastAsia="es-MX"/>
        </w:rPr>
        <w:t xml:space="preserve">; </w:t>
      </w:r>
      <w:r w:rsidR="003A0868">
        <w:rPr>
          <w:rFonts w:ascii="Arial" w:hAnsi="Arial" w:cs="Arial"/>
          <w:lang w:eastAsia="es-MX"/>
        </w:rPr>
        <w:t xml:space="preserve">además de </w:t>
      </w:r>
      <w:r w:rsidR="00C97B6E">
        <w:rPr>
          <w:rFonts w:ascii="Arial" w:hAnsi="Arial" w:cs="Arial"/>
          <w:lang w:eastAsia="es-MX"/>
        </w:rPr>
        <w:t>c</w:t>
      </w:r>
      <w:r w:rsidR="00F37009" w:rsidRPr="00F37009">
        <w:rPr>
          <w:rFonts w:ascii="Arial" w:hAnsi="Arial" w:cs="Arial"/>
          <w:lang w:eastAsia="es-MX"/>
        </w:rPr>
        <w:t xml:space="preserve">apacitar </w:t>
      </w:r>
      <w:r w:rsidR="00C97B6E">
        <w:rPr>
          <w:rFonts w:ascii="Arial" w:hAnsi="Arial" w:cs="Arial"/>
          <w:lang w:eastAsia="es-MX"/>
        </w:rPr>
        <w:t xml:space="preserve">y sensibilizar al personal de </w:t>
      </w:r>
      <w:r w:rsidR="00F37009" w:rsidRPr="00F37009">
        <w:rPr>
          <w:rFonts w:ascii="Arial" w:hAnsi="Arial" w:cs="Arial"/>
          <w:lang w:eastAsia="es-MX"/>
        </w:rPr>
        <w:t xml:space="preserve">las unidades de transparencia de </w:t>
      </w:r>
      <w:r w:rsidR="00F37009">
        <w:rPr>
          <w:rFonts w:ascii="Arial" w:hAnsi="Arial" w:cs="Arial"/>
          <w:lang w:eastAsia="es-MX"/>
        </w:rPr>
        <w:t xml:space="preserve">las instituciones firmantes </w:t>
      </w:r>
      <w:r w:rsidR="00F37009" w:rsidRPr="00F37009">
        <w:rPr>
          <w:rFonts w:ascii="Arial" w:hAnsi="Arial" w:cs="Arial"/>
          <w:lang w:eastAsia="es-MX"/>
        </w:rPr>
        <w:t xml:space="preserve">para que los grupos </w:t>
      </w:r>
      <w:r w:rsidR="00F37009">
        <w:rPr>
          <w:rFonts w:ascii="Arial" w:hAnsi="Arial" w:cs="Arial"/>
          <w:lang w:eastAsia="es-MX"/>
        </w:rPr>
        <w:t xml:space="preserve">vulnerables </w:t>
      </w:r>
      <w:r w:rsidR="00F37009" w:rsidRPr="00F37009">
        <w:rPr>
          <w:rFonts w:ascii="Arial" w:hAnsi="Arial" w:cs="Arial"/>
          <w:lang w:eastAsia="es-MX"/>
        </w:rPr>
        <w:t xml:space="preserve">cuenten con facilidades </w:t>
      </w:r>
      <w:r w:rsidR="00F37009">
        <w:rPr>
          <w:rFonts w:ascii="Arial" w:hAnsi="Arial" w:cs="Arial"/>
          <w:lang w:eastAsia="es-MX"/>
        </w:rPr>
        <w:t xml:space="preserve">y </w:t>
      </w:r>
      <w:r w:rsidR="003D5625">
        <w:rPr>
          <w:rFonts w:ascii="Arial" w:hAnsi="Arial" w:cs="Arial"/>
          <w:lang w:eastAsia="es-MX"/>
        </w:rPr>
        <w:t>se eliminen</w:t>
      </w:r>
      <w:r w:rsidR="00F37009">
        <w:rPr>
          <w:rFonts w:ascii="Arial" w:hAnsi="Arial" w:cs="Arial"/>
          <w:lang w:eastAsia="es-MX"/>
        </w:rPr>
        <w:t xml:space="preserve"> </w:t>
      </w:r>
      <w:r w:rsidR="00F37009" w:rsidRPr="00F37009">
        <w:rPr>
          <w:rFonts w:ascii="Arial" w:hAnsi="Arial" w:cs="Arial"/>
          <w:lang w:eastAsia="es-MX"/>
        </w:rPr>
        <w:t>brechas físicas, comunicacionales, normativas</w:t>
      </w:r>
      <w:r w:rsidR="00F37009">
        <w:rPr>
          <w:rFonts w:ascii="Arial" w:hAnsi="Arial" w:cs="Arial"/>
          <w:lang w:eastAsia="es-MX"/>
        </w:rPr>
        <w:t xml:space="preserve"> </w:t>
      </w:r>
      <w:r w:rsidR="00F37009" w:rsidRPr="00F37009">
        <w:rPr>
          <w:rFonts w:ascii="Arial" w:hAnsi="Arial" w:cs="Arial"/>
          <w:lang w:eastAsia="es-MX"/>
        </w:rPr>
        <w:t xml:space="preserve">o de cualquier otro tipo que puedan obstaculizar el pleno ejercicio de estos derechos.  </w:t>
      </w:r>
      <w:bookmarkStart w:id="0" w:name="_GoBack"/>
      <w:bookmarkEnd w:id="0"/>
    </w:p>
    <w:p w:rsidR="00DF25E9" w:rsidRDefault="00DF25E9" w:rsidP="00256A92">
      <w:pPr>
        <w:rPr>
          <w:rFonts w:ascii="Arial" w:hAnsi="Arial" w:cs="Arial"/>
          <w:lang w:eastAsia="es-MX"/>
        </w:rPr>
      </w:pPr>
    </w:p>
    <w:p w:rsidR="00DF25E9" w:rsidRDefault="00DF25E9" w:rsidP="00256A92">
      <w:pPr>
        <w:rPr>
          <w:rFonts w:ascii="Arial" w:hAnsi="Arial" w:cs="Arial"/>
          <w:lang w:eastAsia="es-MX"/>
        </w:rPr>
      </w:pPr>
    </w:p>
    <w:p w:rsidR="00CF42EF" w:rsidRPr="00DC72D0" w:rsidRDefault="00CF42EF" w:rsidP="00256A92">
      <w:pPr>
        <w:jc w:val="center"/>
        <w:rPr>
          <w:rFonts w:ascii="Arial" w:hAnsi="Arial" w:cs="Arial"/>
          <w:lang w:eastAsia="es-MX"/>
        </w:rPr>
      </w:pPr>
      <w:r w:rsidRPr="00DC72D0">
        <w:rPr>
          <w:rFonts w:ascii="Arial" w:hAnsi="Arial" w:cs="Arial"/>
          <w:b/>
          <w:lang w:eastAsia="es-MX"/>
        </w:rPr>
        <w:t>---000---</w:t>
      </w:r>
    </w:p>
    <w:p w:rsidR="00CF42EF" w:rsidRDefault="00CF42EF" w:rsidP="00DB4F8E">
      <w:pPr>
        <w:rPr>
          <w:rFonts w:ascii="Arial" w:hAnsi="Arial" w:cs="Arial"/>
          <w:lang w:eastAsia="es-MX"/>
        </w:rPr>
      </w:pP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D5" w:rsidRDefault="00E515D5" w:rsidP="00E418E4">
      <w:r>
        <w:separator/>
      </w:r>
    </w:p>
  </w:endnote>
  <w:endnote w:type="continuationSeparator" w:id="0">
    <w:p w:rsidR="00E515D5" w:rsidRDefault="00E51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D5" w:rsidRDefault="00E515D5" w:rsidP="00E418E4">
      <w:r>
        <w:separator/>
      </w:r>
    </w:p>
  </w:footnote>
  <w:footnote w:type="continuationSeparator" w:id="0">
    <w:p w:rsidR="00E515D5" w:rsidRDefault="00E515D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CD49B2"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ED7F37">
      <w:rPr>
        <w:rFonts w:ascii="Arial Narrow" w:hAnsi="Arial Narrow"/>
        <w:b/>
        <w:sz w:val="20"/>
        <w:szCs w:val="20"/>
      </w:rPr>
      <w:t>20</w:t>
    </w:r>
  </w:p>
  <w:p w:rsidR="002171A7" w:rsidRPr="00ED0024" w:rsidRDefault="00ED7F37" w:rsidP="00C33AFE">
    <w:pPr>
      <w:pStyle w:val="Encabezado"/>
      <w:rPr>
        <w:rFonts w:ascii="Arial Narrow" w:hAnsi="Arial Narrow"/>
        <w:b/>
        <w:sz w:val="20"/>
        <w:szCs w:val="20"/>
      </w:rPr>
    </w:pPr>
    <w:r>
      <w:rPr>
        <w:rFonts w:ascii="Arial Narrow" w:hAnsi="Arial Narrow"/>
        <w:b/>
        <w:sz w:val="20"/>
        <w:szCs w:val="20"/>
      </w:rPr>
      <w:t>23</w:t>
    </w:r>
    <w:r w:rsidR="002171A7">
      <w:rPr>
        <w:rFonts w:ascii="Arial Narrow" w:hAnsi="Arial Narrow"/>
        <w:b/>
        <w:sz w:val="20"/>
        <w:szCs w:val="20"/>
      </w:rPr>
      <w:t>/0</w:t>
    </w:r>
    <w:r w:rsidR="006D4D95">
      <w:rPr>
        <w:rFonts w:ascii="Arial Narrow" w:hAnsi="Arial Narrow"/>
        <w:b/>
        <w:sz w:val="20"/>
        <w:szCs w:val="20"/>
      </w:rPr>
      <w:t>8</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31"/>
  </w:num>
  <w:num w:numId="5">
    <w:abstractNumId w:val="30"/>
  </w:num>
  <w:num w:numId="6">
    <w:abstractNumId w:val="27"/>
  </w:num>
  <w:num w:numId="7">
    <w:abstractNumId w:val="21"/>
  </w:num>
  <w:num w:numId="8">
    <w:abstractNumId w:val="7"/>
  </w:num>
  <w:num w:numId="9">
    <w:abstractNumId w:val="20"/>
  </w:num>
  <w:num w:numId="10">
    <w:abstractNumId w:val="16"/>
  </w:num>
  <w:num w:numId="11">
    <w:abstractNumId w:val="1"/>
  </w:num>
  <w:num w:numId="12">
    <w:abstractNumId w:val="0"/>
  </w:num>
  <w:num w:numId="13">
    <w:abstractNumId w:val="15"/>
  </w:num>
  <w:num w:numId="14">
    <w:abstractNumId w:val="10"/>
  </w:num>
  <w:num w:numId="15">
    <w:abstractNumId w:val="29"/>
  </w:num>
  <w:num w:numId="16">
    <w:abstractNumId w:val="28"/>
  </w:num>
  <w:num w:numId="17">
    <w:abstractNumId w:val="5"/>
  </w:num>
  <w:num w:numId="18">
    <w:abstractNumId w:val="22"/>
  </w:num>
  <w:num w:numId="19">
    <w:abstractNumId w:val="11"/>
  </w:num>
  <w:num w:numId="20">
    <w:abstractNumId w:val="8"/>
  </w:num>
  <w:num w:numId="21">
    <w:abstractNumId w:val="13"/>
  </w:num>
  <w:num w:numId="22">
    <w:abstractNumId w:val="24"/>
  </w:num>
  <w:num w:numId="23">
    <w:abstractNumId w:val="17"/>
  </w:num>
  <w:num w:numId="24">
    <w:abstractNumId w:val="26"/>
  </w:num>
  <w:num w:numId="25">
    <w:abstractNumId w:val="18"/>
  </w:num>
  <w:num w:numId="26">
    <w:abstractNumId w:val="23"/>
  </w:num>
  <w:num w:numId="27">
    <w:abstractNumId w:val="32"/>
  </w:num>
  <w:num w:numId="28">
    <w:abstractNumId w:val="25"/>
  </w:num>
  <w:num w:numId="29">
    <w:abstractNumId w:val="3"/>
  </w:num>
  <w:num w:numId="30">
    <w:abstractNumId w:val="6"/>
  </w:num>
  <w:num w:numId="31">
    <w:abstractNumId w:val="12"/>
  </w:num>
  <w:num w:numId="32">
    <w:abstractNumId w:val="33"/>
  </w:num>
  <w:num w:numId="33">
    <w:abstractNumId w:val="9"/>
  </w:num>
  <w:num w:numId="3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16AC"/>
    <w:rsid w:val="00002415"/>
    <w:rsid w:val="00002480"/>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415"/>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474"/>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5858"/>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6919"/>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648"/>
    <w:rsid w:val="00170B2F"/>
    <w:rsid w:val="00170B6B"/>
    <w:rsid w:val="00170BDE"/>
    <w:rsid w:val="00171048"/>
    <w:rsid w:val="00171575"/>
    <w:rsid w:val="00171846"/>
    <w:rsid w:val="00171B25"/>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5DC"/>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2B59"/>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947"/>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B94"/>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0BAB"/>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41A1"/>
    <w:rsid w:val="00304567"/>
    <w:rsid w:val="00304F34"/>
    <w:rsid w:val="00305B74"/>
    <w:rsid w:val="00305F4A"/>
    <w:rsid w:val="0030636D"/>
    <w:rsid w:val="00306423"/>
    <w:rsid w:val="003066BF"/>
    <w:rsid w:val="00306CAB"/>
    <w:rsid w:val="00306CB9"/>
    <w:rsid w:val="00307568"/>
    <w:rsid w:val="003077A6"/>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1D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868"/>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56BE"/>
    <w:rsid w:val="003C643B"/>
    <w:rsid w:val="003D01BA"/>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95A"/>
    <w:rsid w:val="003D4B28"/>
    <w:rsid w:val="003D5209"/>
    <w:rsid w:val="003D5397"/>
    <w:rsid w:val="003D5404"/>
    <w:rsid w:val="003D5625"/>
    <w:rsid w:val="003D598F"/>
    <w:rsid w:val="003D5A7B"/>
    <w:rsid w:val="003D643C"/>
    <w:rsid w:val="003D6887"/>
    <w:rsid w:val="003D69F4"/>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29F9"/>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67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06B"/>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CA2"/>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20E0"/>
    <w:rsid w:val="00542BCC"/>
    <w:rsid w:val="00543115"/>
    <w:rsid w:val="00543A64"/>
    <w:rsid w:val="00544DF0"/>
    <w:rsid w:val="00544F56"/>
    <w:rsid w:val="00545194"/>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CCE"/>
    <w:rsid w:val="005B08C4"/>
    <w:rsid w:val="005B0B4A"/>
    <w:rsid w:val="005B14E6"/>
    <w:rsid w:val="005B150A"/>
    <w:rsid w:val="005B264B"/>
    <w:rsid w:val="005B3778"/>
    <w:rsid w:val="005B3CD4"/>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38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297"/>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5FE"/>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69EB"/>
    <w:rsid w:val="006F7210"/>
    <w:rsid w:val="006F7465"/>
    <w:rsid w:val="006F7601"/>
    <w:rsid w:val="006F7D26"/>
    <w:rsid w:val="006F7D61"/>
    <w:rsid w:val="00700428"/>
    <w:rsid w:val="007004FC"/>
    <w:rsid w:val="00700D2C"/>
    <w:rsid w:val="00700F8D"/>
    <w:rsid w:val="00700F9C"/>
    <w:rsid w:val="0070141E"/>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3FC"/>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231"/>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812"/>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6E"/>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092F"/>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20C"/>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B12"/>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5ED6"/>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078"/>
    <w:rsid w:val="00883219"/>
    <w:rsid w:val="00883599"/>
    <w:rsid w:val="00883652"/>
    <w:rsid w:val="008836E0"/>
    <w:rsid w:val="008837BB"/>
    <w:rsid w:val="008837D8"/>
    <w:rsid w:val="00883E93"/>
    <w:rsid w:val="0088435C"/>
    <w:rsid w:val="00885B36"/>
    <w:rsid w:val="008875AC"/>
    <w:rsid w:val="008875AD"/>
    <w:rsid w:val="008901CB"/>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72A"/>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C7FBE"/>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5B7A"/>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4D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E0"/>
    <w:rsid w:val="00A25698"/>
    <w:rsid w:val="00A25D83"/>
    <w:rsid w:val="00A26331"/>
    <w:rsid w:val="00A263CE"/>
    <w:rsid w:val="00A26C16"/>
    <w:rsid w:val="00A26C4E"/>
    <w:rsid w:val="00A27302"/>
    <w:rsid w:val="00A2758F"/>
    <w:rsid w:val="00A27B0D"/>
    <w:rsid w:val="00A27CB6"/>
    <w:rsid w:val="00A27E40"/>
    <w:rsid w:val="00A27E9F"/>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AA7"/>
    <w:rsid w:val="00A54E20"/>
    <w:rsid w:val="00A5566B"/>
    <w:rsid w:val="00A5575F"/>
    <w:rsid w:val="00A5589C"/>
    <w:rsid w:val="00A55904"/>
    <w:rsid w:val="00A55DA1"/>
    <w:rsid w:val="00A56044"/>
    <w:rsid w:val="00A56A7B"/>
    <w:rsid w:val="00A57360"/>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D7CB2"/>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4E3"/>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538B"/>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9F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AE3"/>
    <w:rsid w:val="00C41B05"/>
    <w:rsid w:val="00C4206E"/>
    <w:rsid w:val="00C425DF"/>
    <w:rsid w:val="00C4480E"/>
    <w:rsid w:val="00C44BBB"/>
    <w:rsid w:val="00C44F39"/>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591"/>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97B6E"/>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21"/>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EC4"/>
    <w:rsid w:val="00CE4F20"/>
    <w:rsid w:val="00CE5436"/>
    <w:rsid w:val="00CE54F5"/>
    <w:rsid w:val="00CE59B6"/>
    <w:rsid w:val="00CE59C2"/>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33F"/>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3E9C"/>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0EB5"/>
    <w:rsid w:val="00D210C0"/>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03D"/>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15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5E9"/>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47793"/>
    <w:rsid w:val="00E50474"/>
    <w:rsid w:val="00E507A0"/>
    <w:rsid w:val="00E50A47"/>
    <w:rsid w:val="00E51366"/>
    <w:rsid w:val="00E515D5"/>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5EAC"/>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51F"/>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431"/>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D7F37"/>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63EE"/>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08F"/>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009"/>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0A4"/>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67146457">
      <w:bodyDiv w:val="1"/>
      <w:marLeft w:val="0"/>
      <w:marRight w:val="0"/>
      <w:marTop w:val="0"/>
      <w:marBottom w:val="0"/>
      <w:divBdr>
        <w:top w:val="none" w:sz="0" w:space="0" w:color="auto"/>
        <w:left w:val="none" w:sz="0" w:space="0" w:color="auto"/>
        <w:bottom w:val="none" w:sz="0" w:space="0" w:color="auto"/>
        <w:right w:val="none" w:sz="0" w:space="0" w:color="auto"/>
      </w:divBdr>
      <w:divsChild>
        <w:div w:id="117842836">
          <w:marLeft w:val="0"/>
          <w:marRight w:val="0"/>
          <w:marTop w:val="0"/>
          <w:marBottom w:val="0"/>
          <w:divBdr>
            <w:top w:val="single" w:sz="2" w:space="0" w:color="000000"/>
            <w:left w:val="single" w:sz="2" w:space="0" w:color="000000"/>
            <w:bottom w:val="single" w:sz="2" w:space="0" w:color="000000"/>
            <w:right w:val="single" w:sz="2" w:space="0" w:color="000000"/>
          </w:divBdr>
        </w:div>
        <w:div w:id="85344446">
          <w:marLeft w:val="0"/>
          <w:marRight w:val="0"/>
          <w:marTop w:val="0"/>
          <w:marBottom w:val="0"/>
          <w:divBdr>
            <w:top w:val="single" w:sz="2" w:space="0" w:color="000000"/>
            <w:left w:val="single" w:sz="2" w:space="0" w:color="000000"/>
            <w:bottom w:val="single" w:sz="2" w:space="0" w:color="000000"/>
            <w:right w:val="single" w:sz="2" w:space="0" w:color="000000"/>
          </w:divBdr>
        </w:div>
        <w:div w:id="1477263354">
          <w:marLeft w:val="0"/>
          <w:marRight w:val="0"/>
          <w:marTop w:val="0"/>
          <w:marBottom w:val="0"/>
          <w:divBdr>
            <w:top w:val="single" w:sz="2" w:space="0" w:color="000000"/>
            <w:left w:val="single" w:sz="2" w:space="0" w:color="000000"/>
            <w:bottom w:val="single" w:sz="2" w:space="0" w:color="000000"/>
            <w:right w:val="single" w:sz="2" w:space="0" w:color="000000"/>
          </w:divBdr>
        </w:div>
        <w:div w:id="1916352293">
          <w:marLeft w:val="0"/>
          <w:marRight w:val="0"/>
          <w:marTop w:val="0"/>
          <w:marBottom w:val="0"/>
          <w:divBdr>
            <w:top w:val="single" w:sz="2" w:space="0" w:color="000000"/>
            <w:left w:val="single" w:sz="2" w:space="0" w:color="000000"/>
            <w:bottom w:val="single" w:sz="2" w:space="0" w:color="000000"/>
            <w:right w:val="single" w:sz="2" w:space="0" w:color="000000"/>
          </w:divBdr>
        </w:div>
        <w:div w:id="443236336">
          <w:marLeft w:val="0"/>
          <w:marRight w:val="0"/>
          <w:marTop w:val="0"/>
          <w:marBottom w:val="0"/>
          <w:divBdr>
            <w:top w:val="single" w:sz="2" w:space="0" w:color="000000"/>
            <w:left w:val="single" w:sz="2" w:space="0" w:color="000000"/>
            <w:bottom w:val="single" w:sz="2" w:space="0" w:color="000000"/>
            <w:right w:val="single" w:sz="2" w:space="0" w:color="000000"/>
          </w:divBdr>
        </w:div>
        <w:div w:id="1966957560">
          <w:marLeft w:val="0"/>
          <w:marRight w:val="0"/>
          <w:marTop w:val="0"/>
          <w:marBottom w:val="0"/>
          <w:divBdr>
            <w:top w:val="single" w:sz="2" w:space="0" w:color="000000"/>
            <w:left w:val="single" w:sz="2" w:space="0" w:color="000000"/>
            <w:bottom w:val="single" w:sz="2" w:space="0" w:color="000000"/>
            <w:right w:val="single" w:sz="2" w:space="0" w:color="000000"/>
          </w:divBdr>
        </w:div>
        <w:div w:id="1172529647">
          <w:marLeft w:val="0"/>
          <w:marRight w:val="0"/>
          <w:marTop w:val="0"/>
          <w:marBottom w:val="0"/>
          <w:divBdr>
            <w:top w:val="single" w:sz="2" w:space="0" w:color="000000"/>
            <w:left w:val="single" w:sz="2" w:space="0" w:color="000000"/>
            <w:bottom w:val="single" w:sz="2" w:space="0" w:color="000000"/>
            <w:right w:val="single" w:sz="2" w:space="0" w:color="000000"/>
          </w:divBdr>
        </w:div>
        <w:div w:id="1172992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A4F39-C960-41F9-8FB4-9CF09EFC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830</Words>
  <Characters>4568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101</cp:revision>
  <cp:lastPrinted>2017-03-23T00:31:00Z</cp:lastPrinted>
  <dcterms:created xsi:type="dcterms:W3CDTF">2019-07-05T22:28:00Z</dcterms:created>
  <dcterms:modified xsi:type="dcterms:W3CDTF">2019-08-24T00:57:00Z</dcterms:modified>
</cp:coreProperties>
</file>