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24F0" w:rsidRPr="009A7B62" w:rsidRDefault="002024F0" w:rsidP="00C5793E">
      <w:pPr>
        <w:jc w:val="center"/>
        <w:rPr>
          <w:rFonts w:ascii="Arial" w:hAnsi="Arial" w:cs="Arial"/>
          <w:sz w:val="20"/>
          <w:lang w:eastAsia="es-MX"/>
        </w:rPr>
      </w:pPr>
      <w:r w:rsidRPr="009A7B62">
        <w:rPr>
          <w:rFonts w:ascii="Arial" w:hAnsi="Arial" w:cs="Arial"/>
          <w:sz w:val="20"/>
          <w:lang w:eastAsia="es-MX"/>
        </w:rPr>
        <w:t xml:space="preserve">IVAI </w:t>
      </w:r>
      <w:r w:rsidR="005226CB">
        <w:rPr>
          <w:rFonts w:ascii="Arial" w:hAnsi="Arial" w:cs="Arial"/>
          <w:sz w:val="20"/>
          <w:lang w:eastAsia="es-MX"/>
        </w:rPr>
        <w:t>elaborará</w:t>
      </w:r>
      <w:r w:rsidRPr="009A7B62">
        <w:rPr>
          <w:rFonts w:ascii="Arial" w:hAnsi="Arial" w:cs="Arial"/>
          <w:sz w:val="20"/>
          <w:lang w:eastAsia="es-MX"/>
        </w:rPr>
        <w:t xml:space="preserve"> acción de inconstitucionalidad</w:t>
      </w:r>
      <w:r w:rsidR="00CC69A9" w:rsidRPr="009A7B62">
        <w:rPr>
          <w:rFonts w:ascii="Arial" w:hAnsi="Arial" w:cs="Arial"/>
          <w:sz w:val="20"/>
          <w:lang w:eastAsia="es-MX"/>
        </w:rPr>
        <w:t xml:space="preserve"> contra reforma a</w:t>
      </w:r>
      <w:r w:rsidR="005226CB">
        <w:rPr>
          <w:rFonts w:ascii="Arial" w:hAnsi="Arial" w:cs="Arial"/>
          <w:sz w:val="20"/>
          <w:lang w:eastAsia="es-MX"/>
        </w:rPr>
        <w:t>l</w:t>
      </w:r>
      <w:r w:rsidR="00CC69A9" w:rsidRPr="009A7B62">
        <w:rPr>
          <w:rFonts w:ascii="Arial" w:hAnsi="Arial" w:cs="Arial"/>
          <w:sz w:val="20"/>
          <w:lang w:eastAsia="es-MX"/>
        </w:rPr>
        <w:t xml:space="preserve"> </w:t>
      </w:r>
      <w:r w:rsidR="009A7B62" w:rsidRPr="009A7B62">
        <w:rPr>
          <w:rFonts w:ascii="Arial" w:hAnsi="Arial" w:cs="Arial"/>
          <w:sz w:val="20"/>
          <w:lang w:eastAsia="es-MX"/>
        </w:rPr>
        <w:t xml:space="preserve">art. 115 de </w:t>
      </w:r>
      <w:r w:rsidR="00CC69A9" w:rsidRPr="009A7B62">
        <w:rPr>
          <w:rFonts w:ascii="Arial" w:hAnsi="Arial" w:cs="Arial"/>
          <w:sz w:val="20"/>
          <w:lang w:eastAsia="es-MX"/>
        </w:rPr>
        <w:t>Ley 875</w:t>
      </w:r>
    </w:p>
    <w:p w:rsidR="002024F0" w:rsidRDefault="002024F0" w:rsidP="00AE4B41">
      <w:pPr>
        <w:jc w:val="center"/>
        <w:rPr>
          <w:rFonts w:ascii="Arial" w:hAnsi="Arial" w:cs="Arial"/>
          <w:b/>
          <w:sz w:val="28"/>
          <w:szCs w:val="28"/>
          <w:lang w:eastAsia="es-MX"/>
        </w:rPr>
      </w:pPr>
    </w:p>
    <w:p w:rsidR="00CE5C64" w:rsidRDefault="00CE5C64" w:rsidP="00CC69A9">
      <w:pPr>
        <w:jc w:val="center"/>
        <w:rPr>
          <w:rFonts w:ascii="Arial" w:hAnsi="Arial" w:cs="Arial"/>
          <w:b/>
          <w:sz w:val="28"/>
          <w:szCs w:val="28"/>
          <w:lang w:eastAsia="es-MX"/>
        </w:rPr>
      </w:pPr>
      <w:r>
        <w:rPr>
          <w:rFonts w:ascii="Arial" w:hAnsi="Arial" w:cs="Arial"/>
          <w:b/>
          <w:sz w:val="28"/>
          <w:szCs w:val="28"/>
          <w:lang w:eastAsia="es-MX"/>
        </w:rPr>
        <w:t xml:space="preserve">Autonomía que da el Congreso </w:t>
      </w:r>
    </w:p>
    <w:p w:rsidR="00585481" w:rsidRPr="00CB2A73" w:rsidRDefault="00CE5C64" w:rsidP="00CC69A9">
      <w:pPr>
        <w:jc w:val="center"/>
        <w:rPr>
          <w:rFonts w:ascii="Arial" w:hAnsi="Arial" w:cs="Arial"/>
          <w:b/>
          <w:sz w:val="28"/>
          <w:szCs w:val="28"/>
          <w:lang w:eastAsia="es-MX"/>
        </w:rPr>
      </w:pPr>
      <w:r>
        <w:rPr>
          <w:rFonts w:ascii="Arial" w:hAnsi="Arial" w:cs="Arial"/>
          <w:b/>
          <w:sz w:val="28"/>
          <w:szCs w:val="28"/>
          <w:lang w:eastAsia="es-MX"/>
        </w:rPr>
        <w:t>a</w:t>
      </w:r>
      <w:r w:rsidR="00C5793E">
        <w:rPr>
          <w:rFonts w:ascii="Arial" w:hAnsi="Arial" w:cs="Arial"/>
          <w:b/>
          <w:sz w:val="28"/>
          <w:szCs w:val="28"/>
          <w:lang w:eastAsia="es-MX"/>
        </w:rPr>
        <w:t xml:space="preserve"> </w:t>
      </w:r>
      <w:r w:rsidR="00CC69A9">
        <w:rPr>
          <w:rFonts w:ascii="Arial" w:hAnsi="Arial" w:cs="Arial"/>
          <w:b/>
          <w:sz w:val="28"/>
          <w:szCs w:val="28"/>
          <w:lang w:eastAsia="es-MX"/>
        </w:rPr>
        <w:t>OIC</w:t>
      </w:r>
      <w:r w:rsidR="00A233A5">
        <w:rPr>
          <w:rFonts w:ascii="Arial" w:hAnsi="Arial" w:cs="Arial"/>
          <w:b/>
          <w:sz w:val="28"/>
          <w:szCs w:val="28"/>
          <w:lang w:eastAsia="es-MX"/>
        </w:rPr>
        <w:t xml:space="preserve"> </w:t>
      </w:r>
      <w:r>
        <w:rPr>
          <w:rFonts w:ascii="Arial" w:hAnsi="Arial" w:cs="Arial"/>
          <w:b/>
          <w:sz w:val="28"/>
          <w:szCs w:val="28"/>
          <w:lang w:eastAsia="es-MX"/>
        </w:rPr>
        <w:t>vulnera diversas disposiciones</w:t>
      </w:r>
    </w:p>
    <w:p w:rsidR="00585481" w:rsidRPr="00CB2A73" w:rsidRDefault="00585481" w:rsidP="00585481">
      <w:pPr>
        <w:jc w:val="center"/>
        <w:rPr>
          <w:rFonts w:ascii="Arial" w:hAnsi="Arial" w:cs="Arial"/>
          <w:lang w:eastAsia="es-MX"/>
        </w:rPr>
      </w:pPr>
    </w:p>
    <w:p w:rsidR="00BD02E6" w:rsidRDefault="00AE2588" w:rsidP="00EC0804">
      <w:pPr>
        <w:pStyle w:val="Prrafodelista"/>
        <w:numPr>
          <w:ilvl w:val="0"/>
          <w:numId w:val="29"/>
        </w:numPr>
        <w:ind w:left="142" w:hanging="153"/>
        <w:rPr>
          <w:rFonts w:ascii="Arial" w:hAnsi="Arial" w:cs="Arial"/>
          <w:sz w:val="20"/>
          <w:szCs w:val="20"/>
          <w:lang w:eastAsia="es-MX"/>
        </w:rPr>
      </w:pPr>
      <w:r>
        <w:rPr>
          <w:rFonts w:ascii="Arial" w:hAnsi="Arial" w:cs="Arial"/>
          <w:sz w:val="20"/>
          <w:szCs w:val="20"/>
          <w:lang w:eastAsia="es-MX"/>
        </w:rPr>
        <w:t xml:space="preserve">Constitución </w:t>
      </w:r>
      <w:r w:rsidR="00361F94">
        <w:rPr>
          <w:rFonts w:ascii="Arial" w:hAnsi="Arial" w:cs="Arial"/>
          <w:sz w:val="20"/>
          <w:szCs w:val="20"/>
          <w:lang w:eastAsia="es-MX"/>
        </w:rPr>
        <w:t xml:space="preserve">da </w:t>
      </w:r>
      <w:r>
        <w:rPr>
          <w:rFonts w:ascii="Arial" w:hAnsi="Arial" w:cs="Arial"/>
          <w:sz w:val="20"/>
          <w:szCs w:val="20"/>
          <w:lang w:eastAsia="es-MX"/>
        </w:rPr>
        <w:t xml:space="preserve">autonomía </w:t>
      </w:r>
      <w:r w:rsidR="00361F94">
        <w:rPr>
          <w:rFonts w:ascii="Arial" w:hAnsi="Arial" w:cs="Arial"/>
          <w:sz w:val="20"/>
          <w:szCs w:val="20"/>
          <w:lang w:eastAsia="es-MX"/>
        </w:rPr>
        <w:t>a</w:t>
      </w:r>
      <w:r>
        <w:rPr>
          <w:rFonts w:ascii="Arial" w:hAnsi="Arial" w:cs="Arial"/>
          <w:sz w:val="20"/>
          <w:szCs w:val="20"/>
          <w:lang w:eastAsia="es-MX"/>
        </w:rPr>
        <w:t>l IVAI; habría c</w:t>
      </w:r>
      <w:r w:rsidRPr="00CC69A9">
        <w:rPr>
          <w:rFonts w:ascii="Arial" w:hAnsi="Arial" w:cs="Arial"/>
          <w:sz w:val="20"/>
          <w:szCs w:val="20"/>
          <w:lang w:eastAsia="es-MX"/>
        </w:rPr>
        <w:t xml:space="preserve">oexistencia de </w:t>
      </w:r>
      <w:r>
        <w:rPr>
          <w:rFonts w:ascii="Arial" w:hAnsi="Arial" w:cs="Arial"/>
          <w:sz w:val="20"/>
          <w:szCs w:val="20"/>
          <w:lang w:eastAsia="es-MX"/>
        </w:rPr>
        <w:t xml:space="preserve">dos </w:t>
      </w:r>
      <w:r w:rsidRPr="00CC69A9">
        <w:rPr>
          <w:rFonts w:ascii="Arial" w:hAnsi="Arial" w:cs="Arial"/>
          <w:sz w:val="20"/>
          <w:szCs w:val="20"/>
          <w:lang w:eastAsia="es-MX"/>
        </w:rPr>
        <w:t xml:space="preserve">autonomías </w:t>
      </w:r>
      <w:r w:rsidR="00361F94">
        <w:rPr>
          <w:rFonts w:ascii="Arial" w:hAnsi="Arial" w:cs="Arial"/>
          <w:sz w:val="20"/>
          <w:szCs w:val="20"/>
          <w:lang w:eastAsia="es-MX"/>
        </w:rPr>
        <w:t>en un mismo ente</w:t>
      </w:r>
    </w:p>
    <w:p w:rsidR="00AE2588" w:rsidRDefault="00BD02E6" w:rsidP="00EC0804">
      <w:pPr>
        <w:pStyle w:val="Prrafodelista"/>
        <w:numPr>
          <w:ilvl w:val="0"/>
          <w:numId w:val="29"/>
        </w:numPr>
        <w:ind w:left="142" w:hanging="153"/>
        <w:rPr>
          <w:rFonts w:ascii="Arial" w:hAnsi="Arial" w:cs="Arial"/>
          <w:sz w:val="20"/>
          <w:szCs w:val="20"/>
          <w:lang w:eastAsia="es-MX"/>
        </w:rPr>
      </w:pPr>
      <w:r>
        <w:rPr>
          <w:rFonts w:ascii="Arial" w:hAnsi="Arial" w:cs="Arial"/>
          <w:sz w:val="20"/>
          <w:szCs w:val="20"/>
          <w:lang w:eastAsia="es-MX"/>
        </w:rPr>
        <w:t xml:space="preserve">Se exige </w:t>
      </w:r>
      <w:r w:rsidRPr="00A233A5">
        <w:rPr>
          <w:rFonts w:ascii="Arial" w:hAnsi="Arial" w:cs="Arial"/>
          <w:sz w:val="20"/>
          <w:szCs w:val="20"/>
          <w:lang w:eastAsia="es-MX"/>
        </w:rPr>
        <w:t xml:space="preserve">dotar </w:t>
      </w:r>
      <w:r>
        <w:rPr>
          <w:rFonts w:ascii="Arial" w:hAnsi="Arial" w:cs="Arial"/>
          <w:sz w:val="20"/>
          <w:szCs w:val="20"/>
          <w:lang w:eastAsia="es-MX"/>
        </w:rPr>
        <w:t>a esta área de tres</w:t>
      </w:r>
      <w:r w:rsidRPr="00A233A5">
        <w:rPr>
          <w:rFonts w:ascii="Arial" w:hAnsi="Arial" w:cs="Arial"/>
          <w:sz w:val="20"/>
          <w:szCs w:val="20"/>
          <w:lang w:eastAsia="es-MX"/>
        </w:rPr>
        <w:t xml:space="preserve"> subdirecciones</w:t>
      </w:r>
      <w:r>
        <w:rPr>
          <w:rFonts w:ascii="Arial" w:hAnsi="Arial" w:cs="Arial"/>
          <w:sz w:val="20"/>
          <w:szCs w:val="20"/>
          <w:lang w:eastAsia="es-MX"/>
        </w:rPr>
        <w:t xml:space="preserve"> sin brindar el presupuesto necesario</w:t>
      </w:r>
    </w:p>
    <w:p w:rsidR="009A7B62" w:rsidRDefault="00FF4DA2" w:rsidP="00EC0804">
      <w:pPr>
        <w:pStyle w:val="Prrafodelista"/>
        <w:numPr>
          <w:ilvl w:val="0"/>
          <w:numId w:val="29"/>
        </w:numPr>
        <w:ind w:left="142" w:hanging="153"/>
        <w:rPr>
          <w:rFonts w:ascii="Arial" w:hAnsi="Arial" w:cs="Arial"/>
          <w:sz w:val="20"/>
          <w:szCs w:val="20"/>
          <w:lang w:eastAsia="es-MX"/>
        </w:rPr>
      </w:pPr>
      <w:r>
        <w:rPr>
          <w:rFonts w:ascii="Arial" w:hAnsi="Arial" w:cs="Arial"/>
          <w:sz w:val="20"/>
          <w:szCs w:val="20"/>
          <w:lang w:eastAsia="es-MX"/>
        </w:rPr>
        <w:t>E</w:t>
      </w:r>
      <w:r w:rsidR="009A7B62">
        <w:rPr>
          <w:rFonts w:ascii="Arial" w:hAnsi="Arial" w:cs="Arial"/>
          <w:sz w:val="20"/>
          <w:szCs w:val="20"/>
          <w:lang w:eastAsia="es-MX"/>
        </w:rPr>
        <w:t>xistió falta de cuidado al no armonizar marco normativo</w:t>
      </w:r>
      <w:r>
        <w:rPr>
          <w:rFonts w:ascii="Arial" w:hAnsi="Arial" w:cs="Arial"/>
          <w:sz w:val="20"/>
          <w:szCs w:val="20"/>
          <w:lang w:eastAsia="es-MX"/>
        </w:rPr>
        <w:t>; IVAI señala deficiencias</w:t>
      </w:r>
    </w:p>
    <w:p w:rsidR="00CC69A9" w:rsidRPr="00CC69A9" w:rsidRDefault="003B44BA" w:rsidP="00EC0804">
      <w:pPr>
        <w:pStyle w:val="Prrafodelista"/>
        <w:numPr>
          <w:ilvl w:val="0"/>
          <w:numId w:val="29"/>
        </w:numPr>
        <w:ind w:left="142" w:hanging="153"/>
        <w:rPr>
          <w:rFonts w:ascii="Arial" w:hAnsi="Arial" w:cs="Arial"/>
          <w:sz w:val="20"/>
          <w:szCs w:val="20"/>
          <w:lang w:eastAsia="es-MX"/>
        </w:rPr>
      </w:pPr>
      <w:r>
        <w:rPr>
          <w:rFonts w:ascii="Arial" w:hAnsi="Arial" w:cs="Arial"/>
          <w:sz w:val="20"/>
          <w:szCs w:val="20"/>
          <w:lang w:eastAsia="es-MX"/>
        </w:rPr>
        <w:t>No se hizo una</w:t>
      </w:r>
      <w:r w:rsidR="00BD02E6">
        <w:rPr>
          <w:rFonts w:ascii="Arial" w:hAnsi="Arial" w:cs="Arial"/>
          <w:sz w:val="20"/>
          <w:szCs w:val="20"/>
          <w:lang w:eastAsia="es-MX"/>
        </w:rPr>
        <w:t xml:space="preserve"> reforma legal </w:t>
      </w:r>
      <w:r w:rsidR="00CE5C64">
        <w:rPr>
          <w:rFonts w:ascii="Arial" w:hAnsi="Arial" w:cs="Arial"/>
          <w:sz w:val="20"/>
          <w:szCs w:val="20"/>
          <w:lang w:eastAsia="es-MX"/>
        </w:rPr>
        <w:t>completa</w:t>
      </w:r>
      <w:r w:rsidR="009A7B62">
        <w:rPr>
          <w:rFonts w:ascii="Arial" w:hAnsi="Arial" w:cs="Arial"/>
          <w:sz w:val="20"/>
          <w:szCs w:val="20"/>
          <w:lang w:eastAsia="es-MX"/>
        </w:rPr>
        <w:t xml:space="preserve"> e integral</w:t>
      </w:r>
    </w:p>
    <w:p w:rsidR="006C485F" w:rsidRPr="00A233A5" w:rsidRDefault="006C485F" w:rsidP="00CC69A9">
      <w:pPr>
        <w:pStyle w:val="Prrafodelista"/>
        <w:ind w:left="720"/>
        <w:rPr>
          <w:rFonts w:ascii="Arial" w:hAnsi="Arial" w:cs="Arial"/>
          <w:lang w:eastAsia="es-MX"/>
        </w:rPr>
      </w:pPr>
    </w:p>
    <w:p w:rsidR="00336F0A" w:rsidRDefault="00CA6FA5" w:rsidP="002024F0">
      <w:pPr>
        <w:rPr>
          <w:rFonts w:ascii="Arial" w:hAnsi="Arial" w:cs="Arial"/>
          <w:lang w:eastAsia="es-MX"/>
        </w:rPr>
      </w:pPr>
      <w:r w:rsidRPr="00CB2A73">
        <w:rPr>
          <w:rFonts w:ascii="Arial" w:hAnsi="Arial" w:cs="Arial"/>
          <w:lang w:eastAsia="es-MX"/>
        </w:rPr>
        <w:t>Xalapa</w:t>
      </w:r>
      <w:r w:rsidR="006F1728" w:rsidRPr="00CB2A73">
        <w:rPr>
          <w:rFonts w:ascii="Arial" w:hAnsi="Arial" w:cs="Arial"/>
          <w:lang w:eastAsia="es-MX"/>
        </w:rPr>
        <w:t xml:space="preserve">, Ver., </w:t>
      </w:r>
      <w:r w:rsidR="002024F0">
        <w:rPr>
          <w:rFonts w:ascii="Arial" w:hAnsi="Arial" w:cs="Arial"/>
          <w:lang w:eastAsia="es-MX"/>
        </w:rPr>
        <w:t>24</w:t>
      </w:r>
      <w:r w:rsidR="00585481" w:rsidRPr="00CB2A73">
        <w:rPr>
          <w:rFonts w:ascii="Arial" w:hAnsi="Arial" w:cs="Arial"/>
          <w:lang w:eastAsia="es-MX"/>
        </w:rPr>
        <w:t xml:space="preserve"> </w:t>
      </w:r>
      <w:r w:rsidR="006F1728" w:rsidRPr="00CB2A73">
        <w:rPr>
          <w:rFonts w:ascii="Arial" w:hAnsi="Arial" w:cs="Arial"/>
          <w:lang w:eastAsia="es-MX"/>
        </w:rPr>
        <w:t xml:space="preserve">de </w:t>
      </w:r>
      <w:r w:rsidR="005B0B4A" w:rsidRPr="00CB2A73">
        <w:rPr>
          <w:rFonts w:ascii="Arial" w:hAnsi="Arial" w:cs="Arial"/>
          <w:lang w:eastAsia="es-MX"/>
        </w:rPr>
        <w:t xml:space="preserve">octubre </w:t>
      </w:r>
      <w:r w:rsidR="006F1728" w:rsidRPr="00CB2A73">
        <w:rPr>
          <w:rFonts w:ascii="Arial" w:hAnsi="Arial" w:cs="Arial"/>
          <w:lang w:eastAsia="es-MX"/>
        </w:rPr>
        <w:t>de 201</w:t>
      </w:r>
      <w:r w:rsidR="00CD76C2" w:rsidRPr="00CB2A73">
        <w:rPr>
          <w:rFonts w:ascii="Arial" w:hAnsi="Arial" w:cs="Arial"/>
          <w:lang w:eastAsia="es-MX"/>
        </w:rPr>
        <w:t>8</w:t>
      </w:r>
      <w:r w:rsidR="006F1728" w:rsidRPr="00CB2A73">
        <w:rPr>
          <w:rFonts w:ascii="Arial" w:hAnsi="Arial" w:cs="Arial"/>
          <w:lang w:eastAsia="es-MX"/>
        </w:rPr>
        <w:t xml:space="preserve">.- </w:t>
      </w:r>
      <w:r w:rsidR="00EC0804">
        <w:rPr>
          <w:rFonts w:ascii="Arial" w:hAnsi="Arial" w:cs="Arial"/>
          <w:lang w:eastAsia="es-MX"/>
        </w:rPr>
        <w:t>E</w:t>
      </w:r>
      <w:r w:rsidR="00EC0804" w:rsidRPr="00CC1DA2">
        <w:rPr>
          <w:rFonts w:ascii="Arial" w:hAnsi="Arial" w:cs="Arial"/>
          <w:lang w:eastAsia="es-MX"/>
        </w:rPr>
        <w:t>l Instituto Veracruzano de Acceso a la Información y Protección de Datos Personales</w:t>
      </w:r>
      <w:r w:rsidR="00EC0804" w:rsidRPr="00EC0804">
        <w:rPr>
          <w:rFonts w:ascii="Arial" w:hAnsi="Arial" w:cs="Arial"/>
          <w:lang w:eastAsia="es-MX"/>
        </w:rPr>
        <w:t xml:space="preserve"> </w:t>
      </w:r>
      <w:r w:rsidR="00336F0A">
        <w:rPr>
          <w:rFonts w:ascii="Arial" w:hAnsi="Arial" w:cs="Arial"/>
          <w:lang w:eastAsia="es-MX"/>
        </w:rPr>
        <w:t xml:space="preserve">(IVAI) determinó </w:t>
      </w:r>
      <w:r w:rsidR="00135F90">
        <w:rPr>
          <w:rFonts w:ascii="Arial" w:hAnsi="Arial" w:cs="Arial"/>
          <w:lang w:eastAsia="es-MX"/>
        </w:rPr>
        <w:t>elaborar</w:t>
      </w:r>
      <w:r w:rsidR="00336F0A">
        <w:rPr>
          <w:rFonts w:ascii="Arial" w:hAnsi="Arial" w:cs="Arial"/>
          <w:lang w:eastAsia="es-MX"/>
        </w:rPr>
        <w:t xml:space="preserve"> </w:t>
      </w:r>
      <w:r w:rsidR="00EC0804" w:rsidRPr="00EC0804">
        <w:rPr>
          <w:rFonts w:ascii="Arial" w:hAnsi="Arial" w:cs="Arial"/>
          <w:lang w:eastAsia="es-MX"/>
        </w:rPr>
        <w:t xml:space="preserve">demanda de </w:t>
      </w:r>
      <w:r w:rsidR="00336F0A">
        <w:rPr>
          <w:rFonts w:ascii="Arial" w:hAnsi="Arial" w:cs="Arial"/>
          <w:lang w:eastAsia="es-MX"/>
        </w:rPr>
        <w:t>acción de i</w:t>
      </w:r>
      <w:r w:rsidR="00EC0804" w:rsidRPr="00EC0804">
        <w:rPr>
          <w:rFonts w:ascii="Arial" w:hAnsi="Arial" w:cs="Arial"/>
          <w:lang w:eastAsia="es-MX"/>
        </w:rPr>
        <w:t xml:space="preserve">nconstitucionalidad </w:t>
      </w:r>
      <w:r w:rsidR="00336F0A">
        <w:rPr>
          <w:rFonts w:ascii="Arial" w:hAnsi="Arial" w:cs="Arial"/>
          <w:lang w:eastAsia="es-MX"/>
        </w:rPr>
        <w:t xml:space="preserve">en </w:t>
      </w:r>
      <w:r w:rsidR="00EC0804" w:rsidRPr="00EC0804">
        <w:rPr>
          <w:rFonts w:ascii="Arial" w:hAnsi="Arial" w:cs="Arial"/>
          <w:lang w:eastAsia="es-MX"/>
        </w:rPr>
        <w:t xml:space="preserve">contra </w:t>
      </w:r>
      <w:r w:rsidR="003B1227">
        <w:rPr>
          <w:rFonts w:ascii="Arial" w:hAnsi="Arial" w:cs="Arial"/>
          <w:lang w:eastAsia="es-MX"/>
        </w:rPr>
        <w:t xml:space="preserve">de </w:t>
      </w:r>
      <w:r w:rsidR="00EC0804" w:rsidRPr="00EC0804">
        <w:rPr>
          <w:rFonts w:ascii="Arial" w:hAnsi="Arial" w:cs="Arial"/>
          <w:lang w:eastAsia="es-MX"/>
        </w:rPr>
        <w:t xml:space="preserve">la reforma al artículo 115 de la Ley Número 875 de Transparencia y Acceso a la Información Pública para el Estado de Veracruz de Ignacio de la Llave, </w:t>
      </w:r>
      <w:r w:rsidR="00336F0A">
        <w:rPr>
          <w:rFonts w:ascii="Arial" w:hAnsi="Arial" w:cs="Arial"/>
          <w:lang w:eastAsia="es-MX"/>
        </w:rPr>
        <w:t>luego de que tras el decreto número</w:t>
      </w:r>
      <w:r w:rsidR="00336F0A" w:rsidRPr="00336F0A">
        <w:rPr>
          <w:rFonts w:ascii="Arial" w:hAnsi="Arial" w:cs="Arial"/>
          <w:lang w:eastAsia="es-MX"/>
        </w:rPr>
        <w:t xml:space="preserve"> 767</w:t>
      </w:r>
      <w:r w:rsidR="00336F0A">
        <w:rPr>
          <w:rFonts w:ascii="Arial" w:hAnsi="Arial" w:cs="Arial"/>
          <w:lang w:eastAsia="es-MX"/>
        </w:rPr>
        <w:t xml:space="preserve"> de </w:t>
      </w:r>
      <w:r w:rsidR="00336F0A" w:rsidRPr="00336F0A">
        <w:rPr>
          <w:rFonts w:ascii="Arial" w:hAnsi="Arial" w:cs="Arial"/>
          <w:lang w:eastAsia="es-MX"/>
        </w:rPr>
        <w:t>nueve de octubre del año en curso</w:t>
      </w:r>
      <w:r w:rsidR="00336F0A" w:rsidRPr="001A652D">
        <w:rPr>
          <w:rFonts w:ascii="Arial" w:hAnsi="Arial" w:cs="Arial"/>
          <w:i/>
        </w:rPr>
        <w:t xml:space="preserve"> </w:t>
      </w:r>
      <w:r w:rsidR="00336F0A">
        <w:rPr>
          <w:rFonts w:ascii="Arial" w:hAnsi="Arial" w:cs="Arial"/>
          <w:lang w:eastAsia="es-MX"/>
        </w:rPr>
        <w:t xml:space="preserve">el Congreso del Estado </w:t>
      </w:r>
      <w:r w:rsidR="00336F0A" w:rsidRPr="00336F0A">
        <w:rPr>
          <w:rFonts w:ascii="Arial" w:hAnsi="Arial" w:cs="Arial"/>
          <w:lang w:eastAsia="es-MX"/>
        </w:rPr>
        <w:t>dota</w:t>
      </w:r>
      <w:r w:rsidR="00336F0A">
        <w:rPr>
          <w:rFonts w:ascii="Arial" w:hAnsi="Arial" w:cs="Arial"/>
          <w:lang w:eastAsia="es-MX"/>
        </w:rPr>
        <w:t>ra</w:t>
      </w:r>
      <w:r w:rsidR="00336F0A" w:rsidRPr="00336F0A">
        <w:rPr>
          <w:rFonts w:ascii="Arial" w:hAnsi="Arial" w:cs="Arial"/>
          <w:lang w:eastAsia="es-MX"/>
        </w:rPr>
        <w:t xml:space="preserve"> de autonomía técnica y de gestión a los órganos internos de control</w:t>
      </w:r>
      <w:r w:rsidR="00336F0A">
        <w:rPr>
          <w:rFonts w:ascii="Arial" w:hAnsi="Arial" w:cs="Arial"/>
          <w:lang w:eastAsia="es-MX"/>
        </w:rPr>
        <w:t xml:space="preserve"> </w:t>
      </w:r>
      <w:r w:rsidR="007D327C">
        <w:rPr>
          <w:rFonts w:ascii="Arial" w:hAnsi="Arial" w:cs="Arial"/>
          <w:lang w:eastAsia="es-MX"/>
        </w:rPr>
        <w:t xml:space="preserve">(OIC) </w:t>
      </w:r>
      <w:r w:rsidR="00336F0A">
        <w:rPr>
          <w:rFonts w:ascii="Arial" w:hAnsi="Arial" w:cs="Arial"/>
          <w:lang w:eastAsia="es-MX"/>
        </w:rPr>
        <w:t xml:space="preserve">de </w:t>
      </w:r>
      <w:r w:rsidR="00CD65C1">
        <w:rPr>
          <w:rFonts w:ascii="Arial" w:hAnsi="Arial" w:cs="Arial"/>
          <w:lang w:eastAsia="es-MX"/>
        </w:rPr>
        <w:t>este y otros organismos.</w:t>
      </w:r>
    </w:p>
    <w:p w:rsidR="00336F0A" w:rsidRDefault="00336F0A" w:rsidP="002024F0">
      <w:pPr>
        <w:rPr>
          <w:rFonts w:ascii="Arial" w:hAnsi="Arial" w:cs="Arial"/>
          <w:lang w:eastAsia="es-MX"/>
        </w:rPr>
      </w:pPr>
    </w:p>
    <w:p w:rsidR="0050128E" w:rsidRDefault="002371B1" w:rsidP="001B3C22">
      <w:pPr>
        <w:rPr>
          <w:rFonts w:ascii="Arial" w:hAnsi="Arial" w:cs="Arial"/>
          <w:lang w:eastAsia="es-MX"/>
        </w:rPr>
      </w:pPr>
      <w:r>
        <w:rPr>
          <w:rFonts w:ascii="Arial" w:hAnsi="Arial" w:cs="Arial"/>
          <w:lang w:eastAsia="es-MX"/>
        </w:rPr>
        <w:t>Existió una falta de cuidado por parte del Congreso al no revisar el marco normativo, pues e</w:t>
      </w:r>
      <w:r w:rsidR="003B1227">
        <w:rPr>
          <w:rFonts w:ascii="Arial" w:hAnsi="Arial" w:cs="Arial"/>
          <w:lang w:eastAsia="es-MX"/>
        </w:rPr>
        <w:t xml:space="preserve">sta reforma </w:t>
      </w:r>
      <w:r w:rsidR="009A6C0B" w:rsidRPr="009A6C0B">
        <w:rPr>
          <w:rFonts w:ascii="Arial" w:hAnsi="Arial" w:cs="Arial"/>
          <w:lang w:eastAsia="es-MX"/>
        </w:rPr>
        <w:t>vulnera distintas disposiciones</w:t>
      </w:r>
      <w:r w:rsidR="00F756D3">
        <w:rPr>
          <w:rFonts w:ascii="Arial" w:hAnsi="Arial" w:cs="Arial"/>
          <w:lang w:eastAsia="es-MX"/>
        </w:rPr>
        <w:t>. T</w:t>
      </w:r>
      <w:r w:rsidR="00F756D3" w:rsidRPr="00F756D3">
        <w:rPr>
          <w:rFonts w:ascii="Arial" w:hAnsi="Arial" w:cs="Arial"/>
          <w:lang w:eastAsia="es-MX"/>
        </w:rPr>
        <w:t>oda vez que estable</w:t>
      </w:r>
      <w:r w:rsidR="00F756D3">
        <w:rPr>
          <w:rFonts w:ascii="Arial" w:hAnsi="Arial" w:cs="Arial"/>
          <w:lang w:eastAsia="es-MX"/>
        </w:rPr>
        <w:t>ce la autonomía de un área del I</w:t>
      </w:r>
      <w:r w:rsidR="00F756D3" w:rsidRPr="00F756D3">
        <w:rPr>
          <w:rFonts w:ascii="Arial" w:hAnsi="Arial" w:cs="Arial"/>
          <w:lang w:eastAsia="es-MX"/>
        </w:rPr>
        <w:t>nstituto, contraviene de manera directa la autonomía con</w:t>
      </w:r>
      <w:r w:rsidR="00F756D3">
        <w:rPr>
          <w:rFonts w:ascii="Arial" w:hAnsi="Arial" w:cs="Arial"/>
          <w:lang w:eastAsia="es-MX"/>
        </w:rPr>
        <w:t xml:space="preserve">stitucional y legal conferida al </w:t>
      </w:r>
      <w:r w:rsidR="00F756D3" w:rsidRPr="00F756D3">
        <w:rPr>
          <w:rFonts w:ascii="Arial" w:hAnsi="Arial" w:cs="Arial"/>
          <w:lang w:eastAsia="es-MX"/>
        </w:rPr>
        <w:t>órgano garante</w:t>
      </w:r>
      <w:r w:rsidR="00F756D3">
        <w:rPr>
          <w:rFonts w:ascii="Arial" w:hAnsi="Arial" w:cs="Arial"/>
          <w:lang w:eastAsia="es-MX"/>
        </w:rPr>
        <w:t xml:space="preserve"> en</w:t>
      </w:r>
      <w:r>
        <w:rPr>
          <w:rFonts w:ascii="Arial" w:hAnsi="Arial" w:cs="Arial"/>
          <w:lang w:eastAsia="es-MX"/>
        </w:rPr>
        <w:t xml:space="preserve"> </w:t>
      </w:r>
      <w:r w:rsidR="000B6AA2">
        <w:rPr>
          <w:rFonts w:ascii="Arial" w:hAnsi="Arial" w:cs="Arial"/>
          <w:lang w:eastAsia="es-MX"/>
        </w:rPr>
        <w:t>el artículo 67, fracción IV, de la Constitución P</w:t>
      </w:r>
      <w:r w:rsidR="000B6AA2" w:rsidRPr="00F7282B">
        <w:rPr>
          <w:rFonts w:ascii="Arial" w:hAnsi="Arial" w:cs="Arial"/>
          <w:lang w:eastAsia="es-MX"/>
        </w:rPr>
        <w:t>olítica d</w:t>
      </w:r>
      <w:r w:rsidR="000B6AA2">
        <w:rPr>
          <w:rFonts w:ascii="Arial" w:hAnsi="Arial" w:cs="Arial"/>
          <w:lang w:eastAsia="es-MX"/>
        </w:rPr>
        <w:t>el Estado de V</w:t>
      </w:r>
      <w:r w:rsidR="000B6AA2" w:rsidRPr="00F7282B">
        <w:rPr>
          <w:rFonts w:ascii="Arial" w:hAnsi="Arial" w:cs="Arial"/>
          <w:lang w:eastAsia="es-MX"/>
        </w:rPr>
        <w:t>eracruz</w:t>
      </w:r>
      <w:r w:rsidR="0050128E">
        <w:rPr>
          <w:rFonts w:ascii="Arial" w:hAnsi="Arial" w:cs="Arial"/>
          <w:lang w:eastAsia="es-MX"/>
        </w:rPr>
        <w:t>.</w:t>
      </w:r>
    </w:p>
    <w:p w:rsidR="0050128E" w:rsidRDefault="0050128E" w:rsidP="001B3C22">
      <w:pPr>
        <w:rPr>
          <w:rFonts w:ascii="Arial" w:hAnsi="Arial" w:cs="Arial"/>
          <w:lang w:eastAsia="es-MX"/>
        </w:rPr>
      </w:pPr>
    </w:p>
    <w:p w:rsidR="001B3C22" w:rsidRDefault="0050128E" w:rsidP="001B3C22">
      <w:pPr>
        <w:rPr>
          <w:rFonts w:ascii="Arial" w:hAnsi="Arial" w:cs="Arial"/>
          <w:lang w:eastAsia="es-MX"/>
        </w:rPr>
      </w:pPr>
      <w:r>
        <w:rPr>
          <w:rFonts w:ascii="Arial" w:hAnsi="Arial" w:cs="Arial"/>
          <w:lang w:eastAsia="es-MX"/>
        </w:rPr>
        <w:t>E</w:t>
      </w:r>
      <w:r w:rsidR="00585EC8">
        <w:rPr>
          <w:rFonts w:ascii="Arial" w:hAnsi="Arial" w:cs="Arial"/>
          <w:lang w:eastAsia="es-MX"/>
        </w:rPr>
        <w:t xml:space="preserve">sto supondría la coexistencia de dos autonomías distintas en un mismo ente, lo </w:t>
      </w:r>
      <w:r w:rsidR="001B3C22">
        <w:rPr>
          <w:rFonts w:ascii="Arial" w:hAnsi="Arial" w:cs="Arial"/>
          <w:lang w:eastAsia="es-MX"/>
        </w:rPr>
        <w:t xml:space="preserve">que debe ser motivo de estudio por parte de la Suprema Corte de Justicia de la Nación sobre la autonomía y la naturaleza jurídica de los órganos autónomos. </w:t>
      </w:r>
    </w:p>
    <w:p w:rsidR="00F756D3" w:rsidRDefault="00F756D3" w:rsidP="000B6AA2">
      <w:pPr>
        <w:rPr>
          <w:rFonts w:ascii="Arial" w:hAnsi="Arial" w:cs="Arial"/>
          <w:lang w:eastAsia="es-MX"/>
        </w:rPr>
      </w:pPr>
    </w:p>
    <w:p w:rsidR="00B235F1" w:rsidRDefault="00505FF1" w:rsidP="00B235F1">
      <w:pPr>
        <w:rPr>
          <w:rFonts w:ascii="Arial" w:hAnsi="Arial" w:cs="Arial"/>
          <w:lang w:eastAsia="es-MX"/>
        </w:rPr>
      </w:pPr>
      <w:r>
        <w:rPr>
          <w:rFonts w:ascii="Arial" w:hAnsi="Arial" w:cs="Arial"/>
          <w:lang w:eastAsia="es-MX"/>
        </w:rPr>
        <w:t>La</w:t>
      </w:r>
      <w:r w:rsidR="009003D3">
        <w:rPr>
          <w:rFonts w:ascii="Arial" w:hAnsi="Arial" w:cs="Arial"/>
          <w:lang w:eastAsia="es-MX"/>
        </w:rPr>
        <w:t xml:space="preserve"> autonomía del </w:t>
      </w:r>
      <w:r w:rsidR="002A3C1A">
        <w:rPr>
          <w:rFonts w:ascii="Arial" w:hAnsi="Arial" w:cs="Arial"/>
          <w:lang w:eastAsia="es-MX"/>
        </w:rPr>
        <w:t>IVAI</w:t>
      </w:r>
      <w:r w:rsidR="009003D3">
        <w:rPr>
          <w:rFonts w:ascii="Arial" w:hAnsi="Arial" w:cs="Arial"/>
          <w:lang w:eastAsia="es-MX"/>
        </w:rPr>
        <w:t xml:space="preserve"> es reiterada por la Ley 875, en su artí</w:t>
      </w:r>
      <w:r w:rsidR="003A0805">
        <w:rPr>
          <w:rFonts w:ascii="Arial" w:hAnsi="Arial" w:cs="Arial"/>
          <w:lang w:eastAsia="es-MX"/>
        </w:rPr>
        <w:t>culo 77</w:t>
      </w:r>
      <w:r w:rsidR="00AB253E">
        <w:rPr>
          <w:rFonts w:ascii="Arial" w:hAnsi="Arial" w:cs="Arial"/>
          <w:lang w:eastAsia="es-MX"/>
        </w:rPr>
        <w:t>. Asimismo,</w:t>
      </w:r>
      <w:r w:rsidR="003A0805">
        <w:rPr>
          <w:rFonts w:ascii="Arial" w:hAnsi="Arial" w:cs="Arial"/>
          <w:lang w:eastAsia="es-MX"/>
        </w:rPr>
        <w:t xml:space="preserve"> los artículos 89; </w:t>
      </w:r>
      <w:r w:rsidR="00B235F1" w:rsidRPr="00400C51">
        <w:rPr>
          <w:rFonts w:ascii="Arial" w:hAnsi="Arial" w:cs="Arial"/>
          <w:lang w:eastAsia="es-MX"/>
        </w:rPr>
        <w:t>90</w:t>
      </w:r>
      <w:r w:rsidR="003A0805" w:rsidRPr="00400C51">
        <w:rPr>
          <w:rFonts w:ascii="Arial" w:hAnsi="Arial" w:cs="Arial"/>
          <w:lang w:eastAsia="es-MX"/>
        </w:rPr>
        <w:t xml:space="preserve">, fracción XXIX; y </w:t>
      </w:r>
      <w:r w:rsidR="003A0805" w:rsidRPr="00400C51">
        <w:rPr>
          <w:rFonts w:ascii="Arial" w:hAnsi="Arial" w:cs="Arial"/>
        </w:rPr>
        <w:t>98, fracción X,</w:t>
      </w:r>
      <w:r w:rsidR="00B235F1" w:rsidRPr="00400C51">
        <w:rPr>
          <w:rFonts w:ascii="Arial" w:hAnsi="Arial" w:cs="Arial"/>
          <w:lang w:eastAsia="es-MX"/>
        </w:rPr>
        <w:t xml:space="preserve"> refieren que el Instituto estará integrado por tres comisionados</w:t>
      </w:r>
      <w:r w:rsidR="0059756B">
        <w:rPr>
          <w:rFonts w:ascii="Arial" w:hAnsi="Arial" w:cs="Arial"/>
          <w:lang w:eastAsia="es-MX"/>
        </w:rPr>
        <w:t>,</w:t>
      </w:r>
      <w:r w:rsidR="00B235F1" w:rsidRPr="00400C51">
        <w:rPr>
          <w:rFonts w:ascii="Arial" w:hAnsi="Arial" w:cs="Arial"/>
          <w:lang w:eastAsia="es-MX"/>
        </w:rPr>
        <w:t xml:space="preserve"> que el Pleno</w:t>
      </w:r>
      <w:r w:rsidR="0059756B">
        <w:rPr>
          <w:rFonts w:ascii="Arial" w:hAnsi="Arial" w:cs="Arial"/>
          <w:lang w:eastAsia="es-MX"/>
        </w:rPr>
        <w:t xml:space="preserve"> es el órgano superior de dirección que</w:t>
      </w:r>
      <w:r w:rsidR="00B235F1" w:rsidRPr="00400C51">
        <w:rPr>
          <w:rFonts w:ascii="Arial" w:hAnsi="Arial" w:cs="Arial"/>
          <w:lang w:eastAsia="es-MX"/>
        </w:rPr>
        <w:t xml:space="preserve"> </w:t>
      </w:r>
      <w:r w:rsidR="003A0805" w:rsidRPr="00400C51">
        <w:rPr>
          <w:rFonts w:ascii="Arial" w:hAnsi="Arial" w:cs="Arial"/>
          <w:lang w:eastAsia="es-MX"/>
        </w:rPr>
        <w:t>r</w:t>
      </w:r>
      <w:r w:rsidR="00B235F1" w:rsidRPr="00400C51">
        <w:rPr>
          <w:rFonts w:ascii="Arial" w:hAnsi="Arial" w:cs="Arial"/>
          <w:lang w:eastAsia="es-MX"/>
        </w:rPr>
        <w:t>atificar</w:t>
      </w:r>
      <w:r w:rsidR="003A0805" w:rsidRPr="00400C51">
        <w:rPr>
          <w:rFonts w:ascii="Arial" w:hAnsi="Arial" w:cs="Arial"/>
          <w:lang w:eastAsia="es-MX"/>
        </w:rPr>
        <w:t>á</w:t>
      </w:r>
      <w:r w:rsidR="00182DE5" w:rsidRPr="00400C51">
        <w:rPr>
          <w:rFonts w:ascii="Arial" w:hAnsi="Arial" w:cs="Arial"/>
          <w:lang w:eastAsia="es-MX"/>
        </w:rPr>
        <w:t xml:space="preserve"> los nombramientos</w:t>
      </w:r>
      <w:r w:rsidR="00B235F1" w:rsidRPr="00400C51">
        <w:rPr>
          <w:rFonts w:ascii="Arial" w:hAnsi="Arial" w:cs="Arial"/>
          <w:lang w:eastAsia="es-MX"/>
        </w:rPr>
        <w:t xml:space="preserve"> realizados por el </w:t>
      </w:r>
      <w:r w:rsidR="003A0805" w:rsidRPr="00400C51">
        <w:rPr>
          <w:rFonts w:ascii="Arial" w:hAnsi="Arial" w:cs="Arial"/>
          <w:lang w:eastAsia="es-MX"/>
        </w:rPr>
        <w:t>comisionado p</w:t>
      </w:r>
      <w:r w:rsidR="00B235F1" w:rsidRPr="00400C51">
        <w:rPr>
          <w:rFonts w:ascii="Arial" w:hAnsi="Arial" w:cs="Arial"/>
          <w:lang w:eastAsia="es-MX"/>
        </w:rPr>
        <w:t>residente de los servidores públicos de la estructura orgánica</w:t>
      </w:r>
      <w:r w:rsidR="00182DE5" w:rsidRPr="00400C51">
        <w:rPr>
          <w:rFonts w:ascii="Arial" w:hAnsi="Arial" w:cs="Arial"/>
          <w:lang w:eastAsia="es-MX"/>
        </w:rPr>
        <w:t xml:space="preserve"> y que </w:t>
      </w:r>
      <w:r w:rsidR="00400C51">
        <w:rPr>
          <w:rFonts w:ascii="Arial" w:hAnsi="Arial" w:cs="Arial"/>
          <w:lang w:eastAsia="es-MX"/>
        </w:rPr>
        <w:t xml:space="preserve">entre las </w:t>
      </w:r>
      <w:r w:rsidR="00400C51" w:rsidRPr="00400C51">
        <w:rPr>
          <w:rFonts w:ascii="Arial" w:hAnsi="Arial" w:cs="Arial"/>
        </w:rPr>
        <w:t>áreas administrativas que dependerá</w:t>
      </w:r>
      <w:r w:rsidR="00400C51">
        <w:rPr>
          <w:rFonts w:ascii="Arial" w:hAnsi="Arial" w:cs="Arial"/>
        </w:rPr>
        <w:t>n</w:t>
      </w:r>
      <w:r w:rsidR="00400C51" w:rsidRPr="00400C51">
        <w:rPr>
          <w:rFonts w:ascii="Arial" w:hAnsi="Arial" w:cs="Arial"/>
        </w:rPr>
        <w:t xml:space="preserve"> de la </w:t>
      </w:r>
      <w:r w:rsidR="00400C51">
        <w:rPr>
          <w:rFonts w:ascii="Arial" w:hAnsi="Arial" w:cs="Arial"/>
        </w:rPr>
        <w:t>p</w:t>
      </w:r>
      <w:r w:rsidR="00400C51" w:rsidRPr="00400C51">
        <w:rPr>
          <w:rFonts w:ascii="Arial" w:hAnsi="Arial" w:cs="Arial"/>
        </w:rPr>
        <w:t>residencia se encuentra el Órgano Interno de Control</w:t>
      </w:r>
      <w:r w:rsidR="00400C51">
        <w:rPr>
          <w:rFonts w:ascii="Arial" w:hAnsi="Arial" w:cs="Arial"/>
        </w:rPr>
        <w:t xml:space="preserve">. </w:t>
      </w:r>
    </w:p>
    <w:p w:rsidR="009003D3" w:rsidRDefault="009003D3" w:rsidP="000B6AA2">
      <w:pPr>
        <w:rPr>
          <w:rFonts w:ascii="Arial" w:hAnsi="Arial" w:cs="Arial"/>
          <w:lang w:eastAsia="es-MX"/>
        </w:rPr>
      </w:pPr>
    </w:p>
    <w:p w:rsidR="008C3950" w:rsidRDefault="007D327C" w:rsidP="008C3950">
      <w:pPr>
        <w:rPr>
          <w:rFonts w:ascii="Arial" w:hAnsi="Arial" w:cs="Arial"/>
          <w:lang w:eastAsia="es-MX"/>
        </w:rPr>
      </w:pPr>
      <w:r>
        <w:rPr>
          <w:rFonts w:ascii="Arial" w:hAnsi="Arial" w:cs="Arial"/>
          <w:lang w:eastAsia="es-MX"/>
        </w:rPr>
        <w:t xml:space="preserve">En ese sentido, </w:t>
      </w:r>
      <w:r w:rsidRPr="005A5E81">
        <w:rPr>
          <w:rFonts w:ascii="Arial" w:hAnsi="Arial" w:cs="Arial"/>
          <w:lang w:eastAsia="es-MX"/>
        </w:rPr>
        <w:t xml:space="preserve">para </w:t>
      </w:r>
      <w:r w:rsidR="008C3950">
        <w:rPr>
          <w:rFonts w:ascii="Arial" w:hAnsi="Arial" w:cs="Arial"/>
          <w:lang w:eastAsia="es-MX"/>
        </w:rPr>
        <w:t xml:space="preserve">los comisionados del IVAI, para </w:t>
      </w:r>
      <w:r w:rsidRPr="005A5E81">
        <w:rPr>
          <w:rFonts w:ascii="Arial" w:hAnsi="Arial" w:cs="Arial"/>
          <w:lang w:eastAsia="es-MX"/>
        </w:rPr>
        <w:t xml:space="preserve">poder dotar de autonomía técnica y de gestión al Órgano Interno de Control </w:t>
      </w:r>
      <w:r>
        <w:rPr>
          <w:rFonts w:ascii="Arial" w:hAnsi="Arial" w:cs="Arial"/>
          <w:lang w:eastAsia="es-MX"/>
        </w:rPr>
        <w:t xml:space="preserve">del Instituto </w:t>
      </w:r>
      <w:r w:rsidRPr="007D327C">
        <w:rPr>
          <w:rFonts w:ascii="Arial" w:hAnsi="Arial" w:cs="Arial"/>
          <w:lang w:eastAsia="es-MX"/>
        </w:rPr>
        <w:t>primero deb</w:t>
      </w:r>
      <w:r w:rsidR="006D4947">
        <w:rPr>
          <w:rFonts w:ascii="Arial" w:hAnsi="Arial" w:cs="Arial"/>
          <w:lang w:eastAsia="es-MX"/>
        </w:rPr>
        <w:t>ió</w:t>
      </w:r>
      <w:r w:rsidRPr="007D327C">
        <w:rPr>
          <w:rFonts w:ascii="Arial" w:hAnsi="Arial" w:cs="Arial"/>
          <w:lang w:eastAsia="es-MX"/>
        </w:rPr>
        <w:t xml:space="preserve"> efectuarse una reforma legal</w:t>
      </w:r>
      <w:r w:rsidR="008C3950">
        <w:rPr>
          <w:rFonts w:ascii="Arial" w:hAnsi="Arial" w:cs="Arial"/>
          <w:lang w:eastAsia="es-MX"/>
        </w:rPr>
        <w:t xml:space="preserve"> completa e integral que armoni</w:t>
      </w:r>
      <w:r w:rsidR="006D4947">
        <w:rPr>
          <w:rFonts w:ascii="Arial" w:hAnsi="Arial" w:cs="Arial"/>
          <w:lang w:eastAsia="es-MX"/>
        </w:rPr>
        <w:t>zara</w:t>
      </w:r>
      <w:r w:rsidR="008C3950">
        <w:rPr>
          <w:rFonts w:ascii="Arial" w:hAnsi="Arial" w:cs="Arial"/>
          <w:lang w:eastAsia="es-MX"/>
        </w:rPr>
        <w:t xml:space="preserve"> lo propuesto. Si bien la reforma agrega un colofón donde se deroga cualquier disposición que se oponga al decreto, esto puede ser aplicable a normas de la misma jerarquía pero no a un ordenamiento superior como es la Constitución del estado. </w:t>
      </w:r>
    </w:p>
    <w:p w:rsidR="008C3950" w:rsidRDefault="008C3950" w:rsidP="007D327C">
      <w:pPr>
        <w:rPr>
          <w:rFonts w:ascii="Arial" w:hAnsi="Arial" w:cs="Arial"/>
          <w:lang w:eastAsia="es-MX"/>
        </w:rPr>
      </w:pPr>
    </w:p>
    <w:p w:rsidR="00A74ACD" w:rsidRDefault="00476267" w:rsidP="00A74ACD">
      <w:pPr>
        <w:rPr>
          <w:rFonts w:ascii="Arial" w:hAnsi="Arial" w:cs="Arial"/>
          <w:lang w:eastAsia="es-MX"/>
        </w:rPr>
      </w:pPr>
      <w:r>
        <w:rPr>
          <w:rFonts w:ascii="Arial" w:hAnsi="Arial" w:cs="Arial"/>
          <w:lang w:eastAsia="es-MX"/>
        </w:rPr>
        <w:t>Además de estas deficiencias, c</w:t>
      </w:r>
      <w:r w:rsidR="00A74ACD">
        <w:rPr>
          <w:rFonts w:ascii="Arial" w:hAnsi="Arial" w:cs="Arial"/>
          <w:lang w:eastAsia="es-MX"/>
        </w:rPr>
        <w:t>abe señalar</w:t>
      </w:r>
      <w:r w:rsidR="003F25CE">
        <w:rPr>
          <w:rFonts w:ascii="Arial" w:hAnsi="Arial" w:cs="Arial"/>
          <w:lang w:eastAsia="es-MX"/>
        </w:rPr>
        <w:t xml:space="preserve"> </w:t>
      </w:r>
      <w:r w:rsidR="00A74ACD">
        <w:rPr>
          <w:rFonts w:ascii="Arial" w:hAnsi="Arial" w:cs="Arial"/>
          <w:lang w:eastAsia="es-MX"/>
        </w:rPr>
        <w:t>que el</w:t>
      </w:r>
      <w:r w:rsidR="00C04F0A">
        <w:rPr>
          <w:rFonts w:ascii="Arial" w:hAnsi="Arial" w:cs="Arial"/>
          <w:lang w:eastAsia="es-MX"/>
        </w:rPr>
        <w:t xml:space="preserve"> </w:t>
      </w:r>
      <w:r w:rsidR="00C04F0A" w:rsidRPr="00C04F0A">
        <w:rPr>
          <w:rFonts w:ascii="Arial" w:hAnsi="Arial" w:cs="Arial"/>
          <w:lang w:eastAsia="es-MX"/>
        </w:rPr>
        <w:t>31 de julio del año en curso</w:t>
      </w:r>
      <w:r w:rsidR="00C04F0A">
        <w:rPr>
          <w:rFonts w:ascii="Arial" w:hAnsi="Arial" w:cs="Arial"/>
          <w:lang w:eastAsia="es-MX"/>
        </w:rPr>
        <w:t xml:space="preserve"> el Congreso del Estado </w:t>
      </w:r>
      <w:r w:rsidR="00C04F0A" w:rsidRPr="00C04F0A">
        <w:rPr>
          <w:rFonts w:ascii="Arial" w:hAnsi="Arial" w:cs="Arial"/>
          <w:lang w:eastAsia="es-MX"/>
        </w:rPr>
        <w:t>design</w:t>
      </w:r>
      <w:r w:rsidR="00C04F0A">
        <w:rPr>
          <w:rFonts w:ascii="Arial" w:hAnsi="Arial" w:cs="Arial"/>
          <w:lang w:eastAsia="es-MX"/>
        </w:rPr>
        <w:t>ó</w:t>
      </w:r>
      <w:r w:rsidR="00C04F0A" w:rsidRPr="00C04F0A">
        <w:rPr>
          <w:rFonts w:ascii="Arial" w:hAnsi="Arial" w:cs="Arial"/>
          <w:lang w:eastAsia="es-MX"/>
        </w:rPr>
        <w:t xml:space="preserve"> a </w:t>
      </w:r>
      <w:r w:rsidR="00C04F0A">
        <w:rPr>
          <w:rFonts w:ascii="Arial" w:hAnsi="Arial" w:cs="Arial"/>
          <w:lang w:eastAsia="es-MX"/>
        </w:rPr>
        <w:t xml:space="preserve">los titulares de los órganos </w:t>
      </w:r>
      <w:r w:rsidR="00C04F0A" w:rsidRPr="00C04F0A">
        <w:rPr>
          <w:rFonts w:ascii="Arial" w:hAnsi="Arial" w:cs="Arial"/>
          <w:lang w:eastAsia="es-MX"/>
        </w:rPr>
        <w:t>interno</w:t>
      </w:r>
      <w:r w:rsidR="00C04F0A">
        <w:rPr>
          <w:rFonts w:ascii="Arial" w:hAnsi="Arial" w:cs="Arial"/>
          <w:lang w:eastAsia="es-MX"/>
        </w:rPr>
        <w:t>s de control</w:t>
      </w:r>
      <w:r w:rsidR="00C04F0A" w:rsidRPr="00534A37">
        <w:rPr>
          <w:rFonts w:ascii="Arial" w:hAnsi="Arial" w:cs="Arial"/>
          <w:lang w:eastAsia="es-MX"/>
        </w:rPr>
        <w:t xml:space="preserve"> de diversos organismos autónomos</w:t>
      </w:r>
      <w:r w:rsidR="00C04F0A">
        <w:rPr>
          <w:rFonts w:ascii="Arial" w:hAnsi="Arial" w:cs="Arial"/>
          <w:lang w:eastAsia="es-MX"/>
        </w:rPr>
        <w:t xml:space="preserve"> y del propio </w:t>
      </w:r>
      <w:r w:rsidR="00A74ACD">
        <w:rPr>
          <w:rFonts w:ascii="Arial" w:hAnsi="Arial" w:cs="Arial"/>
          <w:lang w:eastAsia="es-MX"/>
        </w:rPr>
        <w:t>Poder Legislativo, y sin tomar en cuenta que t</w:t>
      </w:r>
      <w:r w:rsidR="00A74ACD" w:rsidRPr="00C6226C">
        <w:rPr>
          <w:rFonts w:ascii="Arial" w:hAnsi="Arial" w:cs="Arial"/>
          <w:lang w:eastAsia="es-MX"/>
        </w:rPr>
        <w:t xml:space="preserve">odos los órganos </w:t>
      </w:r>
      <w:r w:rsidR="00A74ACD">
        <w:rPr>
          <w:rFonts w:ascii="Arial" w:hAnsi="Arial" w:cs="Arial"/>
          <w:lang w:eastAsia="es-MX"/>
        </w:rPr>
        <w:t>cuentan</w:t>
      </w:r>
      <w:r w:rsidR="00A74ACD" w:rsidRPr="00C6226C">
        <w:rPr>
          <w:rFonts w:ascii="Arial" w:hAnsi="Arial" w:cs="Arial"/>
          <w:lang w:eastAsia="es-MX"/>
        </w:rPr>
        <w:t xml:space="preserve"> con distintas atribuciones, </w:t>
      </w:r>
      <w:r w:rsidR="00A74ACD" w:rsidRPr="00A74ACD">
        <w:rPr>
          <w:rFonts w:ascii="Arial" w:hAnsi="Arial" w:cs="Arial"/>
          <w:lang w:eastAsia="es-MX"/>
        </w:rPr>
        <w:t xml:space="preserve">diferente número de </w:t>
      </w:r>
      <w:r w:rsidR="00A74ACD">
        <w:rPr>
          <w:rFonts w:ascii="Arial" w:hAnsi="Arial" w:cs="Arial"/>
          <w:lang w:eastAsia="es-MX"/>
        </w:rPr>
        <w:t>personal y distinto presupuesto, el Congreso exhortó</w:t>
      </w:r>
      <w:r w:rsidR="00A74ACD" w:rsidRPr="00A74ACD">
        <w:rPr>
          <w:rFonts w:ascii="Arial" w:hAnsi="Arial" w:cs="Arial"/>
          <w:lang w:eastAsia="es-MX"/>
        </w:rPr>
        <w:t xml:space="preserve"> a todos los </w:t>
      </w:r>
      <w:r w:rsidR="00A74ACD">
        <w:rPr>
          <w:rFonts w:ascii="Arial" w:hAnsi="Arial" w:cs="Arial"/>
          <w:lang w:eastAsia="es-MX"/>
        </w:rPr>
        <w:t>entes</w:t>
      </w:r>
      <w:r w:rsidR="00A74ACD" w:rsidRPr="00A74ACD">
        <w:rPr>
          <w:rFonts w:ascii="Arial" w:hAnsi="Arial" w:cs="Arial"/>
          <w:lang w:eastAsia="es-MX"/>
        </w:rPr>
        <w:t xml:space="preserve"> autónomos para dotar a los ó</w:t>
      </w:r>
      <w:r w:rsidR="00A74ACD">
        <w:rPr>
          <w:rFonts w:ascii="Arial" w:hAnsi="Arial" w:cs="Arial"/>
          <w:lang w:eastAsia="es-MX"/>
        </w:rPr>
        <w:t xml:space="preserve">rganos internos de control de tres </w:t>
      </w:r>
      <w:r w:rsidR="00A74ACD" w:rsidRPr="00A74ACD">
        <w:rPr>
          <w:rFonts w:ascii="Arial" w:hAnsi="Arial" w:cs="Arial"/>
          <w:lang w:eastAsia="es-MX"/>
        </w:rPr>
        <w:t>subdirecciones</w:t>
      </w:r>
      <w:r w:rsidR="005022D6">
        <w:rPr>
          <w:rFonts w:ascii="Arial" w:hAnsi="Arial" w:cs="Arial"/>
          <w:lang w:eastAsia="es-MX"/>
        </w:rPr>
        <w:t xml:space="preserve">; lo que </w:t>
      </w:r>
      <w:r w:rsidR="00A74ACD" w:rsidRPr="00A74ACD">
        <w:rPr>
          <w:rFonts w:ascii="Arial" w:hAnsi="Arial" w:cs="Arial"/>
          <w:lang w:eastAsia="es-MX"/>
        </w:rPr>
        <w:t xml:space="preserve">implica que todos tengan la misma estructura </w:t>
      </w:r>
      <w:r w:rsidR="005022D6">
        <w:rPr>
          <w:rFonts w:ascii="Arial" w:hAnsi="Arial" w:cs="Arial"/>
          <w:lang w:eastAsia="es-MX"/>
        </w:rPr>
        <w:t>aun cuando</w:t>
      </w:r>
      <w:r w:rsidR="00A74ACD" w:rsidRPr="00A74ACD">
        <w:rPr>
          <w:rFonts w:ascii="Arial" w:hAnsi="Arial" w:cs="Arial"/>
          <w:lang w:eastAsia="es-MX"/>
        </w:rPr>
        <w:t xml:space="preserve"> cada contralor atenderá distintas realidades.</w:t>
      </w:r>
    </w:p>
    <w:p w:rsidR="00997531" w:rsidRDefault="00997531" w:rsidP="00C04F0A">
      <w:pPr>
        <w:rPr>
          <w:rFonts w:ascii="Arial" w:hAnsi="Arial" w:cs="Arial"/>
          <w:lang w:eastAsia="es-MX"/>
        </w:rPr>
      </w:pPr>
    </w:p>
    <w:p w:rsidR="00C04F0A" w:rsidRDefault="00BC1951" w:rsidP="00C04F0A">
      <w:pPr>
        <w:rPr>
          <w:rFonts w:ascii="Arial" w:hAnsi="Arial" w:cs="Arial"/>
          <w:lang w:eastAsia="es-MX"/>
        </w:rPr>
      </w:pPr>
      <w:r>
        <w:rPr>
          <w:rFonts w:ascii="Arial" w:hAnsi="Arial" w:cs="Arial"/>
          <w:lang w:eastAsia="es-MX"/>
        </w:rPr>
        <w:t>No obstante, e</w:t>
      </w:r>
      <w:r w:rsidR="00997531">
        <w:rPr>
          <w:rFonts w:ascii="Arial" w:hAnsi="Arial" w:cs="Arial"/>
          <w:lang w:eastAsia="es-MX"/>
        </w:rPr>
        <w:t>l IVAI</w:t>
      </w:r>
      <w:r w:rsidR="00997531" w:rsidRPr="00997531">
        <w:rPr>
          <w:rFonts w:ascii="Arial" w:hAnsi="Arial" w:cs="Arial"/>
          <w:lang w:eastAsia="es-MX"/>
        </w:rPr>
        <w:t xml:space="preserve"> </w:t>
      </w:r>
      <w:r>
        <w:rPr>
          <w:rFonts w:ascii="Arial" w:hAnsi="Arial" w:cs="Arial"/>
          <w:lang w:eastAsia="es-MX"/>
        </w:rPr>
        <w:t xml:space="preserve">–siendo respetuso e institucional– </w:t>
      </w:r>
      <w:r w:rsidR="00997531" w:rsidRPr="00997531">
        <w:rPr>
          <w:rFonts w:ascii="Arial" w:hAnsi="Arial" w:cs="Arial"/>
          <w:lang w:eastAsia="es-MX"/>
        </w:rPr>
        <w:t>mediante acuerdo ODG/SE-102/26/09/2018 de 26 de septiembre, solicitó al Congreso del Estado</w:t>
      </w:r>
      <w:r w:rsidR="00997531">
        <w:rPr>
          <w:rFonts w:ascii="Arial" w:hAnsi="Arial" w:cs="Arial"/>
          <w:lang w:eastAsia="es-MX"/>
        </w:rPr>
        <w:t xml:space="preserve"> la aprobación de</w:t>
      </w:r>
      <w:r w:rsidR="00997531" w:rsidRPr="00997531">
        <w:rPr>
          <w:rFonts w:ascii="Arial" w:hAnsi="Arial" w:cs="Arial"/>
          <w:lang w:eastAsia="es-MX"/>
        </w:rPr>
        <w:t xml:space="preserve"> una ampliación presupuestal para cubrir lo que resta del ejercicio fiscal en curso y estar en condiciones</w:t>
      </w:r>
      <w:r w:rsidR="00997531">
        <w:rPr>
          <w:rFonts w:ascii="Arial" w:hAnsi="Arial" w:cs="Arial"/>
          <w:lang w:eastAsia="es-MX"/>
        </w:rPr>
        <w:t xml:space="preserve"> de dar cumplimiento al exhorto</w:t>
      </w:r>
      <w:r w:rsidR="00997531" w:rsidRPr="00997531">
        <w:rPr>
          <w:rFonts w:ascii="Arial" w:hAnsi="Arial" w:cs="Arial"/>
          <w:lang w:eastAsia="es-MX"/>
        </w:rPr>
        <w:t xml:space="preserve">; </w:t>
      </w:r>
      <w:r w:rsidR="009D1D0B">
        <w:rPr>
          <w:rFonts w:ascii="Arial" w:hAnsi="Arial" w:cs="Arial"/>
          <w:lang w:eastAsia="es-MX"/>
        </w:rPr>
        <w:t xml:space="preserve">lo </w:t>
      </w:r>
      <w:r w:rsidR="00997531" w:rsidRPr="00997531">
        <w:rPr>
          <w:rFonts w:ascii="Arial" w:hAnsi="Arial" w:cs="Arial"/>
          <w:lang w:eastAsia="es-MX"/>
        </w:rPr>
        <w:t>qu</w:t>
      </w:r>
      <w:r w:rsidR="009D1D0B">
        <w:rPr>
          <w:rFonts w:ascii="Arial" w:hAnsi="Arial" w:cs="Arial"/>
          <w:lang w:eastAsia="es-MX"/>
        </w:rPr>
        <w:t>e a la fecha no ha sido atendido</w:t>
      </w:r>
      <w:r w:rsidR="00997531" w:rsidRPr="00997531">
        <w:rPr>
          <w:rFonts w:ascii="Arial" w:hAnsi="Arial" w:cs="Arial"/>
          <w:lang w:eastAsia="es-MX"/>
        </w:rPr>
        <w:t>.</w:t>
      </w:r>
    </w:p>
    <w:p w:rsidR="00C04F0A" w:rsidRDefault="00C04F0A" w:rsidP="00C04F0A">
      <w:pPr>
        <w:rPr>
          <w:rFonts w:ascii="Arial" w:hAnsi="Arial" w:cs="Arial"/>
          <w:lang w:eastAsia="es-MX"/>
        </w:rPr>
      </w:pPr>
    </w:p>
    <w:p w:rsidR="000B2D13" w:rsidRDefault="00F82E98" w:rsidP="00C04F0A">
      <w:pPr>
        <w:rPr>
          <w:rFonts w:ascii="Arial" w:hAnsi="Arial" w:cs="Arial"/>
          <w:lang w:eastAsia="es-MX"/>
        </w:rPr>
      </w:pPr>
      <w:r>
        <w:rPr>
          <w:rFonts w:ascii="Arial" w:hAnsi="Arial" w:cs="Arial"/>
          <w:lang w:eastAsia="es-MX"/>
        </w:rPr>
        <w:t xml:space="preserve">Al publicarse el decreto </w:t>
      </w:r>
      <w:r w:rsidRPr="00336F0A">
        <w:rPr>
          <w:rFonts w:ascii="Arial" w:hAnsi="Arial" w:cs="Arial"/>
          <w:lang w:eastAsia="es-MX"/>
        </w:rPr>
        <w:t>767</w:t>
      </w:r>
      <w:r>
        <w:rPr>
          <w:rFonts w:ascii="Arial" w:hAnsi="Arial" w:cs="Arial"/>
          <w:lang w:eastAsia="es-MX"/>
        </w:rPr>
        <w:t xml:space="preserve"> el nueve de octubre siguiente, se convierte en ley lo que se había propuesto como exhorto. </w:t>
      </w:r>
      <w:r w:rsidR="009D1D0B">
        <w:rPr>
          <w:rFonts w:ascii="Arial" w:hAnsi="Arial" w:cs="Arial"/>
          <w:lang w:eastAsia="es-MX"/>
        </w:rPr>
        <w:t>Ante este escenario</w:t>
      </w:r>
      <w:r w:rsidR="0005707A">
        <w:rPr>
          <w:rFonts w:ascii="Arial" w:hAnsi="Arial" w:cs="Arial"/>
          <w:lang w:eastAsia="es-MX"/>
        </w:rPr>
        <w:t>, e</w:t>
      </w:r>
      <w:r w:rsidR="004B1924" w:rsidRPr="004B1924">
        <w:rPr>
          <w:rFonts w:ascii="Arial" w:hAnsi="Arial" w:cs="Arial"/>
          <w:lang w:eastAsia="es-MX"/>
        </w:rPr>
        <w:t>l Congreso pasó por alto el hecho de que, con fundamento en el artículo 40, párrafo segundo</w:t>
      </w:r>
      <w:r w:rsidR="000B2D13">
        <w:rPr>
          <w:rFonts w:ascii="Arial" w:hAnsi="Arial" w:cs="Arial"/>
          <w:lang w:eastAsia="es-MX"/>
        </w:rPr>
        <w:t>,</w:t>
      </w:r>
      <w:r w:rsidR="004B1924" w:rsidRPr="004B1924">
        <w:rPr>
          <w:rFonts w:ascii="Arial" w:hAnsi="Arial" w:cs="Arial"/>
          <w:lang w:eastAsia="es-MX"/>
        </w:rPr>
        <w:t xml:space="preserve"> de la Ley General de Transparencia y Acceso a la Información Pública, debía otorgar un presupuesto suficiente y adecuado </w:t>
      </w:r>
      <w:r w:rsidR="004B1924">
        <w:rPr>
          <w:rFonts w:ascii="Arial" w:hAnsi="Arial" w:cs="Arial"/>
          <w:lang w:eastAsia="es-MX"/>
        </w:rPr>
        <w:t>al</w:t>
      </w:r>
      <w:r w:rsidR="004B1924" w:rsidRPr="004B1924">
        <w:rPr>
          <w:rFonts w:ascii="Arial" w:hAnsi="Arial" w:cs="Arial"/>
          <w:lang w:eastAsia="es-MX"/>
        </w:rPr>
        <w:t xml:space="preserve"> organismo garante para el funcionamiento efectivo y cumplimiento de todas las leyes que le resulten aplicables</w:t>
      </w:r>
      <w:r w:rsidR="000B2D13">
        <w:rPr>
          <w:rFonts w:ascii="Arial" w:hAnsi="Arial" w:cs="Arial"/>
          <w:lang w:eastAsia="es-MX"/>
        </w:rPr>
        <w:t>.</w:t>
      </w:r>
      <w:r w:rsidR="00B754A7">
        <w:rPr>
          <w:rFonts w:ascii="Arial" w:hAnsi="Arial" w:cs="Arial"/>
          <w:lang w:eastAsia="es-MX"/>
        </w:rPr>
        <w:t xml:space="preserve"> Esta norma es también superior a la Ley 875 de transparencia local. </w:t>
      </w:r>
    </w:p>
    <w:p w:rsidR="000B2D13" w:rsidRDefault="000B2D13" w:rsidP="00C04F0A">
      <w:pPr>
        <w:rPr>
          <w:rFonts w:ascii="Arial" w:hAnsi="Arial" w:cs="Arial"/>
          <w:lang w:eastAsia="es-MX"/>
        </w:rPr>
      </w:pPr>
    </w:p>
    <w:p w:rsidR="00585EC8" w:rsidRDefault="000B2D13" w:rsidP="000B6AA2">
      <w:pPr>
        <w:rPr>
          <w:rFonts w:ascii="Arial" w:hAnsi="Arial" w:cs="Arial"/>
          <w:lang w:eastAsia="es-MX"/>
        </w:rPr>
      </w:pPr>
      <w:r>
        <w:rPr>
          <w:rFonts w:ascii="Arial" w:hAnsi="Arial" w:cs="Arial"/>
          <w:lang w:eastAsia="es-MX"/>
        </w:rPr>
        <w:t>D</w:t>
      </w:r>
      <w:r w:rsidR="004B1924" w:rsidRPr="004B1924">
        <w:rPr>
          <w:rFonts w:ascii="Arial" w:hAnsi="Arial" w:cs="Arial"/>
          <w:lang w:eastAsia="es-MX"/>
        </w:rPr>
        <w:t>e igual manera</w:t>
      </w:r>
      <w:r w:rsidR="004B1924">
        <w:rPr>
          <w:rFonts w:ascii="Arial" w:hAnsi="Arial" w:cs="Arial"/>
          <w:lang w:eastAsia="es-MX"/>
        </w:rPr>
        <w:t>,</w:t>
      </w:r>
      <w:r w:rsidR="004B1924" w:rsidRPr="004B1924">
        <w:rPr>
          <w:rFonts w:ascii="Arial" w:hAnsi="Arial" w:cs="Arial"/>
          <w:lang w:eastAsia="es-MX"/>
        </w:rPr>
        <w:t xml:space="preserve"> no tomó en cuenta el artículo 16 de la Ley de Disciplina Financiera de las Entidades Federativas y los Municipios, el cual seña que </w:t>
      </w:r>
      <w:r w:rsidR="004B1924">
        <w:rPr>
          <w:rFonts w:ascii="Arial" w:hAnsi="Arial" w:cs="Arial"/>
          <w:lang w:eastAsia="es-MX"/>
        </w:rPr>
        <w:t>e</w:t>
      </w:r>
      <w:r w:rsidR="004B1924" w:rsidRPr="004B1924">
        <w:rPr>
          <w:rFonts w:ascii="Arial" w:hAnsi="Arial" w:cs="Arial"/>
          <w:lang w:eastAsia="es-MX"/>
        </w:rPr>
        <w:t xml:space="preserve">l Ejecutivo de la </w:t>
      </w:r>
      <w:r w:rsidR="004B1924">
        <w:rPr>
          <w:rFonts w:ascii="Arial" w:hAnsi="Arial" w:cs="Arial"/>
          <w:lang w:eastAsia="es-MX"/>
        </w:rPr>
        <w:t>entidad f</w:t>
      </w:r>
      <w:r w:rsidR="004B1924" w:rsidRPr="004B1924">
        <w:rPr>
          <w:rFonts w:ascii="Arial" w:hAnsi="Arial" w:cs="Arial"/>
          <w:lang w:eastAsia="es-MX"/>
        </w:rPr>
        <w:t xml:space="preserve">ederativa, por conducto de la secretaría de finanzas o su equivalente, realizará una estimación del impacto presupuestario de las iniciativas de ley o decretos que se presenten a la consideración de la </w:t>
      </w:r>
      <w:r>
        <w:rPr>
          <w:rFonts w:ascii="Arial" w:hAnsi="Arial" w:cs="Arial"/>
          <w:lang w:eastAsia="es-MX"/>
        </w:rPr>
        <w:t>l</w:t>
      </w:r>
      <w:r w:rsidR="004B1924" w:rsidRPr="004B1924">
        <w:rPr>
          <w:rFonts w:ascii="Arial" w:hAnsi="Arial" w:cs="Arial"/>
          <w:lang w:eastAsia="es-MX"/>
        </w:rPr>
        <w:t xml:space="preserve">egislatura local. </w:t>
      </w:r>
    </w:p>
    <w:p w:rsidR="00585EC8" w:rsidRDefault="00585EC8" w:rsidP="000B6AA2">
      <w:pPr>
        <w:rPr>
          <w:rFonts w:ascii="Arial" w:hAnsi="Arial" w:cs="Arial"/>
          <w:lang w:eastAsia="es-MX"/>
        </w:rPr>
      </w:pPr>
    </w:p>
    <w:p w:rsidR="00E8698D" w:rsidRPr="00E8698D" w:rsidRDefault="00E8698D" w:rsidP="00E8698D">
      <w:pPr>
        <w:rPr>
          <w:rFonts w:ascii="Arial" w:hAnsi="Arial" w:cs="Arial"/>
          <w:lang w:eastAsia="es-MX"/>
        </w:rPr>
      </w:pPr>
      <w:r>
        <w:rPr>
          <w:rFonts w:ascii="Arial" w:hAnsi="Arial" w:cs="Arial"/>
          <w:lang w:eastAsia="es-MX"/>
        </w:rPr>
        <w:t xml:space="preserve">Es por ello que la acción de inconstitucionalidad que elaborará el IVAI versará también en contra de </w:t>
      </w:r>
      <w:r w:rsidRPr="00E8698D">
        <w:rPr>
          <w:rFonts w:ascii="Arial" w:hAnsi="Arial" w:cs="Arial"/>
          <w:lang w:eastAsia="es-MX"/>
        </w:rPr>
        <w:t>la omisión legislativa al no otorgar un presupuesto adecuado y suficiente.</w:t>
      </w:r>
      <w:r>
        <w:rPr>
          <w:rFonts w:ascii="Arial" w:hAnsi="Arial" w:cs="Arial"/>
          <w:lang w:eastAsia="es-MX"/>
        </w:rPr>
        <w:t xml:space="preserve"> </w:t>
      </w:r>
      <w:r w:rsidRPr="00E8698D">
        <w:rPr>
          <w:rFonts w:ascii="Arial" w:hAnsi="Arial" w:cs="Arial"/>
          <w:lang w:eastAsia="es-MX"/>
        </w:rPr>
        <w:t xml:space="preserve">Lo que </w:t>
      </w:r>
      <w:r w:rsidR="00EF2FB0">
        <w:rPr>
          <w:rFonts w:ascii="Arial" w:hAnsi="Arial" w:cs="Arial"/>
          <w:lang w:eastAsia="es-MX"/>
        </w:rPr>
        <w:t xml:space="preserve">es congruente con lo que </w:t>
      </w:r>
      <w:r>
        <w:rPr>
          <w:rFonts w:ascii="Arial" w:hAnsi="Arial" w:cs="Arial"/>
          <w:lang w:eastAsia="es-MX"/>
        </w:rPr>
        <w:t xml:space="preserve">el Instituto </w:t>
      </w:r>
      <w:r w:rsidRPr="00E8698D">
        <w:rPr>
          <w:rFonts w:ascii="Arial" w:hAnsi="Arial" w:cs="Arial"/>
          <w:lang w:eastAsia="es-MX"/>
        </w:rPr>
        <w:t>ha venido señ</w:t>
      </w:r>
      <w:r>
        <w:rPr>
          <w:rFonts w:ascii="Arial" w:hAnsi="Arial" w:cs="Arial"/>
          <w:lang w:eastAsia="es-MX"/>
        </w:rPr>
        <w:t>alando desde que se expidió la L</w:t>
      </w:r>
      <w:r w:rsidRPr="00E8698D">
        <w:rPr>
          <w:rFonts w:ascii="Arial" w:hAnsi="Arial" w:cs="Arial"/>
          <w:lang w:eastAsia="es-MX"/>
        </w:rPr>
        <w:t xml:space="preserve">ey 875 </w:t>
      </w:r>
      <w:r>
        <w:rPr>
          <w:rFonts w:ascii="Arial" w:hAnsi="Arial" w:cs="Arial"/>
          <w:lang w:eastAsia="es-MX"/>
        </w:rPr>
        <w:t>que</w:t>
      </w:r>
      <w:r w:rsidRPr="00E8698D">
        <w:rPr>
          <w:rFonts w:ascii="Arial" w:hAnsi="Arial" w:cs="Arial"/>
          <w:lang w:eastAsia="es-MX"/>
        </w:rPr>
        <w:t xml:space="preserve"> </w:t>
      </w:r>
      <w:r>
        <w:rPr>
          <w:rFonts w:ascii="Arial" w:hAnsi="Arial" w:cs="Arial"/>
          <w:lang w:eastAsia="es-MX"/>
        </w:rPr>
        <w:t xml:space="preserve">le </w:t>
      </w:r>
      <w:r w:rsidRPr="00E8698D">
        <w:rPr>
          <w:rFonts w:ascii="Arial" w:hAnsi="Arial" w:cs="Arial"/>
          <w:lang w:eastAsia="es-MX"/>
        </w:rPr>
        <w:t>dotó de nuevas atribuciones sin tampoco dar el presupuesto necesario</w:t>
      </w:r>
      <w:r>
        <w:rPr>
          <w:rFonts w:ascii="Arial" w:hAnsi="Arial" w:cs="Arial"/>
          <w:lang w:eastAsia="es-MX"/>
        </w:rPr>
        <w:t xml:space="preserve">, </w:t>
      </w:r>
      <w:r w:rsidR="001B38DD">
        <w:rPr>
          <w:rFonts w:ascii="Arial" w:hAnsi="Arial" w:cs="Arial"/>
          <w:lang w:eastAsia="es-MX"/>
        </w:rPr>
        <w:t>situación que en</w:t>
      </w:r>
      <w:r>
        <w:rPr>
          <w:rFonts w:ascii="Arial" w:hAnsi="Arial" w:cs="Arial"/>
          <w:lang w:eastAsia="es-MX"/>
        </w:rPr>
        <w:t xml:space="preserve"> su momento </w:t>
      </w:r>
      <w:r w:rsidRPr="00E8698D">
        <w:rPr>
          <w:rFonts w:ascii="Arial" w:hAnsi="Arial" w:cs="Arial"/>
          <w:lang w:eastAsia="es-MX"/>
        </w:rPr>
        <w:t>fue motivo de la presentación de una diversa acción de inconstitucionalidad.</w:t>
      </w:r>
    </w:p>
    <w:p w:rsidR="00585EC8" w:rsidRDefault="00585EC8" w:rsidP="000B6AA2">
      <w:pPr>
        <w:rPr>
          <w:rFonts w:ascii="Arial" w:hAnsi="Arial" w:cs="Arial"/>
          <w:lang w:eastAsia="es-MX"/>
        </w:rPr>
      </w:pPr>
    </w:p>
    <w:p w:rsidR="00FF46A4" w:rsidRDefault="005C4F04" w:rsidP="00D864E7">
      <w:pPr>
        <w:rPr>
          <w:rFonts w:ascii="Arial" w:hAnsi="Arial" w:cs="Arial"/>
          <w:lang w:eastAsia="es-MX"/>
        </w:rPr>
      </w:pPr>
      <w:r w:rsidRPr="00CC1DA2">
        <w:rPr>
          <w:rFonts w:ascii="Arial" w:hAnsi="Arial" w:cs="Arial"/>
          <w:lang w:eastAsia="es-MX"/>
        </w:rPr>
        <w:t xml:space="preserve">En la sesión </w:t>
      </w:r>
      <w:r w:rsidR="00D92952" w:rsidRPr="00CC1DA2">
        <w:rPr>
          <w:rFonts w:ascii="Arial" w:hAnsi="Arial" w:cs="Arial"/>
          <w:lang w:eastAsia="es-MX"/>
        </w:rPr>
        <w:t xml:space="preserve">pública </w:t>
      </w:r>
      <w:r w:rsidRPr="00CC1DA2">
        <w:rPr>
          <w:rFonts w:ascii="Arial" w:hAnsi="Arial" w:cs="Arial"/>
          <w:lang w:eastAsia="es-MX"/>
        </w:rPr>
        <w:t xml:space="preserve">de hoy, el Instituto Veracruzano de Acceso a la Información y Protección de Datos Personales </w:t>
      </w:r>
      <w:r w:rsidR="00FF46A4">
        <w:rPr>
          <w:rFonts w:ascii="Arial" w:hAnsi="Arial" w:cs="Arial"/>
          <w:lang w:eastAsia="es-MX"/>
        </w:rPr>
        <w:t xml:space="preserve">emitió </w:t>
      </w:r>
      <w:r w:rsidR="00CC7F31">
        <w:rPr>
          <w:rFonts w:ascii="Arial" w:hAnsi="Arial" w:cs="Arial"/>
          <w:lang w:eastAsia="es-MX"/>
        </w:rPr>
        <w:t>68</w:t>
      </w:r>
      <w:r w:rsidR="00FF46A4" w:rsidRPr="00CC1DA2">
        <w:rPr>
          <w:rFonts w:ascii="Arial" w:hAnsi="Arial" w:cs="Arial"/>
          <w:lang w:eastAsia="es-MX"/>
        </w:rPr>
        <w:t xml:space="preserve"> sentencias</w:t>
      </w:r>
      <w:r w:rsidR="00FF46A4">
        <w:rPr>
          <w:rFonts w:ascii="Arial" w:hAnsi="Arial" w:cs="Arial"/>
          <w:lang w:eastAsia="es-MX"/>
        </w:rPr>
        <w:t xml:space="preserve">, de estas </w:t>
      </w:r>
      <w:r w:rsidR="00CC7F31">
        <w:rPr>
          <w:rFonts w:ascii="Arial" w:hAnsi="Arial" w:cs="Arial"/>
          <w:lang w:eastAsia="es-MX"/>
        </w:rPr>
        <w:t>61</w:t>
      </w:r>
      <w:r w:rsidR="006A197A" w:rsidRPr="00CC1DA2">
        <w:rPr>
          <w:rFonts w:ascii="Arial" w:hAnsi="Arial" w:cs="Arial"/>
          <w:lang w:eastAsia="es-MX"/>
        </w:rPr>
        <w:t xml:space="preserve"> </w:t>
      </w:r>
      <w:r w:rsidR="00FF46A4">
        <w:rPr>
          <w:rFonts w:ascii="Arial" w:hAnsi="Arial" w:cs="Arial"/>
          <w:lang w:eastAsia="es-MX"/>
        </w:rPr>
        <w:t xml:space="preserve">fueron </w:t>
      </w:r>
      <w:r w:rsidRPr="00CC1DA2">
        <w:rPr>
          <w:rFonts w:ascii="Arial" w:hAnsi="Arial" w:cs="Arial"/>
          <w:lang w:eastAsia="es-MX"/>
        </w:rPr>
        <w:t>recursos de revisión</w:t>
      </w:r>
      <w:r w:rsidR="00C339B0" w:rsidRPr="00CC1DA2">
        <w:rPr>
          <w:rFonts w:ascii="Arial" w:hAnsi="Arial" w:cs="Arial"/>
          <w:lang w:eastAsia="es-MX"/>
        </w:rPr>
        <w:t xml:space="preserve"> y </w:t>
      </w:r>
      <w:r w:rsidR="00CC7F31">
        <w:rPr>
          <w:rFonts w:ascii="Arial" w:hAnsi="Arial" w:cs="Arial"/>
          <w:lang w:eastAsia="es-MX"/>
        </w:rPr>
        <w:t>7</w:t>
      </w:r>
      <w:r w:rsidR="00C339B0" w:rsidRPr="00CC1DA2">
        <w:rPr>
          <w:rFonts w:ascii="Arial" w:hAnsi="Arial" w:cs="Arial"/>
          <w:lang w:eastAsia="es-MX"/>
        </w:rPr>
        <w:t xml:space="preserve"> </w:t>
      </w:r>
      <w:r w:rsidR="00FF46A4">
        <w:rPr>
          <w:rFonts w:ascii="Arial" w:hAnsi="Arial" w:cs="Arial"/>
          <w:lang w:eastAsia="es-MX"/>
        </w:rPr>
        <w:t xml:space="preserve">fueron </w:t>
      </w:r>
      <w:r w:rsidR="00C339B0" w:rsidRPr="00CC1DA2">
        <w:rPr>
          <w:rFonts w:ascii="Arial" w:hAnsi="Arial" w:cs="Arial"/>
          <w:lang w:eastAsia="es-MX"/>
        </w:rPr>
        <w:t>denuncias por incumplimiento de obligaciones de transparencia</w:t>
      </w:r>
      <w:r w:rsidR="00FF46A4">
        <w:rPr>
          <w:rFonts w:ascii="Arial" w:hAnsi="Arial" w:cs="Arial"/>
          <w:lang w:eastAsia="es-MX"/>
        </w:rPr>
        <w:t xml:space="preserve"> por parte de diversos sujetos o</w:t>
      </w:r>
      <w:bookmarkStart w:id="0" w:name="_GoBack"/>
      <w:bookmarkEnd w:id="0"/>
      <w:r w:rsidR="00FF46A4">
        <w:rPr>
          <w:rFonts w:ascii="Arial" w:hAnsi="Arial" w:cs="Arial"/>
          <w:lang w:eastAsia="es-MX"/>
        </w:rPr>
        <w:t xml:space="preserve">bligados. </w:t>
      </w:r>
    </w:p>
    <w:p w:rsidR="001B3C22" w:rsidRDefault="001B3C22" w:rsidP="00D864E7">
      <w:pPr>
        <w:rPr>
          <w:rFonts w:ascii="Arial" w:hAnsi="Arial" w:cs="Arial"/>
          <w:lang w:eastAsia="es-MX"/>
        </w:rPr>
      </w:pPr>
    </w:p>
    <w:p w:rsidR="006F6233" w:rsidRDefault="006F6233" w:rsidP="00D864E7">
      <w:pPr>
        <w:rPr>
          <w:rFonts w:ascii="Arial" w:hAnsi="Arial" w:cs="Arial"/>
          <w:lang w:eastAsia="es-MX"/>
        </w:rPr>
      </w:pPr>
    </w:p>
    <w:p w:rsidR="006F6233" w:rsidRPr="00CC1DA2" w:rsidRDefault="006F6233" w:rsidP="00D864E7">
      <w:pPr>
        <w:rPr>
          <w:rFonts w:ascii="Arial" w:hAnsi="Arial" w:cs="Arial"/>
          <w:lang w:eastAsia="es-MX"/>
        </w:rPr>
      </w:pPr>
    </w:p>
    <w:p w:rsidR="00CA6FA5" w:rsidRDefault="00CA6FA5" w:rsidP="00835779">
      <w:pPr>
        <w:jc w:val="center"/>
        <w:rPr>
          <w:rFonts w:ascii="Arial" w:hAnsi="Arial" w:cs="Arial"/>
          <w:lang w:eastAsia="es-MX"/>
        </w:rPr>
      </w:pPr>
      <w:r w:rsidRPr="00CC1DA2">
        <w:rPr>
          <w:rFonts w:ascii="Arial" w:hAnsi="Arial" w:cs="Arial"/>
          <w:b/>
          <w:lang w:eastAsia="es-MX"/>
        </w:rPr>
        <w:t>---000---</w:t>
      </w:r>
    </w:p>
    <w:sectPr w:rsidR="00CA6FA5" w:rsidSect="00F82E98">
      <w:headerReference w:type="even" r:id="rId8"/>
      <w:headerReference w:type="default" r:id="rId9"/>
      <w:footerReference w:type="default" r:id="rId10"/>
      <w:pgSz w:w="11907" w:h="16839" w:code="9"/>
      <w:pgMar w:top="1702" w:right="1701" w:bottom="1560" w:left="1701" w:header="426"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D062E" w:rsidRDefault="008D062E" w:rsidP="00E418E4">
      <w:r>
        <w:separator/>
      </w:r>
    </w:p>
  </w:endnote>
  <w:endnote w:type="continuationSeparator" w:id="1">
    <w:p w:rsidR="008D062E" w:rsidRDefault="008D062E" w:rsidP="00E418E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rutiger 45 Light">
    <w:altName w:val="Cambria"/>
    <w:panose1 w:val="00000000000000000000"/>
    <w:charset w:val="00"/>
    <w:family w:val="swiss"/>
    <w:notTrueType/>
    <w:pitch w:val="variable"/>
    <w:sig w:usb0="800000AF" w:usb1="4000004A"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062E" w:rsidRDefault="003F5623">
    <w:pPr>
      <w:pStyle w:val="Piedepgina"/>
      <w:jc w:val="right"/>
    </w:pPr>
    <w:fldSimple w:instr=" PAGE   \* MERGEFORMAT ">
      <w:r w:rsidR="006D4947">
        <w:rPr>
          <w:noProof/>
        </w:rPr>
        <w:t>1</w:t>
      </w:r>
    </w:fldSimple>
  </w:p>
  <w:p w:rsidR="008D062E" w:rsidRPr="00C33AFE" w:rsidRDefault="008D062E">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D062E" w:rsidRDefault="008D062E" w:rsidP="00E418E4">
      <w:r>
        <w:separator/>
      </w:r>
    </w:p>
  </w:footnote>
  <w:footnote w:type="continuationSeparator" w:id="1">
    <w:p w:rsidR="008D062E" w:rsidRDefault="008D062E" w:rsidP="00E418E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062E" w:rsidRDefault="008D062E">
    <w:r>
      <w:cr/>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062E" w:rsidRPr="00ED0024" w:rsidRDefault="008D062E" w:rsidP="00C33AFE">
    <w:pPr>
      <w:pStyle w:val="Encabezado"/>
      <w:rPr>
        <w:rFonts w:ascii="Arial Narrow" w:hAnsi="Arial Narrow"/>
        <w:b/>
        <w:sz w:val="20"/>
        <w:szCs w:val="20"/>
      </w:rPr>
    </w:pPr>
    <w:r>
      <w:rPr>
        <w:noProof/>
        <w:lang w:val="es-ES_tradnl" w:eastAsia="es-ES_tradnl"/>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val="es-ES_tradnl" w:eastAsia="es-ES_tradnl"/>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r="10161"/>
                  <a:stretch>
                    <a:fillRect/>
                  </a:stretch>
                </pic:blipFill>
                <pic:spPr bwMode="auto">
                  <a:xfrm>
                    <a:off x="0" y="0"/>
                    <a:ext cx="6990080" cy="1390650"/>
                  </a:xfrm>
                  <a:prstGeom prst="rect">
                    <a:avLst/>
                  </a:prstGeom>
                  <a:noFill/>
                  <a:ln>
                    <a:noFill/>
                  </a:ln>
                </pic:spPr>
              </pic:pic>
            </a:graphicData>
          </a:graphic>
        </wp:anchor>
      </w:drawing>
    </w:r>
    <w:r w:rsidR="003F5623" w:rsidRPr="003F5623">
      <w:rPr>
        <w:rFonts w:ascii="Arial Narrow" w:hAnsi="Arial Narrow"/>
        <w:b/>
        <w:noProof/>
        <w:sz w:val="20"/>
        <w:szCs w:val="20"/>
        <w:lang w:eastAsia="es-MX"/>
      </w:rPr>
      <w:pict>
        <v:shapetype id="_x0000_t202" coordsize="21600,21600" o:spt="202" path="m0,0l0,21600,21600,21600,21600,0xe">
          <v:stroke joinstyle="miter"/>
          <v:path gradientshapeok="t" o:connecttype="rect"/>
        </v:shapetype>
        <v:shape id="Cuadro de texto 8" o:spid="_x0000_s4097"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w:r>
    <w:r w:rsidR="003F5623" w:rsidRPr="003F5623">
      <w:rPr>
        <w:rFonts w:ascii="Arial Narrow" w:hAnsi="Arial Narrow"/>
        <w:b/>
        <w:noProof/>
        <w:sz w:val="20"/>
        <w:szCs w:val="20"/>
        <w:lang w:eastAsia="es-MX"/>
      </w:rPr>
      <w:pict>
        <v:shape id=" 1" o:spid="_x0000_s4096"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8D062E" w:rsidRPr="00BB435D" w:rsidRDefault="008D062E" w:rsidP="00BB435D"/>
            </w:txbxContent>
          </v:textbox>
        </v:shape>
      </w:pict>
    </w:r>
    <w:r w:rsidRPr="00ED0024">
      <w:rPr>
        <w:rFonts w:ascii="Arial Narrow" w:hAnsi="Arial Narrow"/>
        <w:b/>
        <w:sz w:val="20"/>
        <w:szCs w:val="20"/>
      </w:rPr>
      <w:t xml:space="preserve">BOLETÍN.- </w:t>
    </w:r>
    <w:r>
      <w:rPr>
        <w:rFonts w:ascii="Arial Narrow" w:hAnsi="Arial Narrow"/>
        <w:b/>
        <w:sz w:val="20"/>
        <w:szCs w:val="20"/>
      </w:rPr>
      <w:t>30</w:t>
    </w:r>
  </w:p>
  <w:p w:rsidR="008D062E" w:rsidRPr="00ED0024" w:rsidRDefault="008D062E" w:rsidP="00C33AFE">
    <w:pPr>
      <w:pStyle w:val="Encabezado"/>
      <w:rPr>
        <w:rFonts w:ascii="Arial Narrow" w:hAnsi="Arial Narrow"/>
        <w:b/>
        <w:sz w:val="20"/>
        <w:szCs w:val="20"/>
      </w:rPr>
    </w:pPr>
    <w:r>
      <w:rPr>
        <w:rFonts w:ascii="Arial Narrow" w:hAnsi="Arial Narrow"/>
        <w:b/>
        <w:sz w:val="20"/>
        <w:szCs w:val="20"/>
      </w:rPr>
      <w:t>24/10</w:t>
    </w:r>
    <w:r w:rsidRPr="00ED0024">
      <w:rPr>
        <w:rFonts w:ascii="Arial Narrow" w:hAnsi="Arial Narrow"/>
        <w:b/>
        <w:sz w:val="20"/>
        <w:szCs w:val="20"/>
      </w:rPr>
      <w:t>/201</w:t>
    </w:r>
    <w:r>
      <w:rPr>
        <w:rFonts w:ascii="Arial Narrow" w:hAnsi="Arial Narrow"/>
        <w:b/>
        <w:sz w:val="20"/>
        <w:szCs w:val="20"/>
      </w:rPr>
      <w:t>8</w:t>
    </w:r>
  </w:p>
  <w:p w:rsidR="008D062E" w:rsidRPr="00402A24" w:rsidRDefault="008D062E">
    <w:pPr>
      <w:rPr>
        <w:sz w:val="20"/>
        <w:szCs w:val="20"/>
      </w:rPr>
    </w:pPr>
  </w:p>
  <w:p w:rsidR="008D062E" w:rsidRPr="002E6492" w:rsidRDefault="008D062E">
    <w:pPr>
      <w:rPr>
        <w:color w:val="FF0000"/>
      </w:rPr>
    </w:pPr>
    <w:r>
      <w:rPr>
        <w:noProof/>
        <w:color w:val="FF0000"/>
        <w:lang w:val="es-ES_tradnl" w:eastAsia="es-ES_tradnl"/>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oNotTrackMoves/>
  <w:defaultTabStop w:val="708"/>
  <w:hyphenationZone w:val="425"/>
  <w:drawingGridHorizontalSpacing w:val="120"/>
  <w:displayHorizontalDrawingGridEvery w:val="2"/>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E418E4"/>
    <w:rsid w:val="0000052A"/>
    <w:rsid w:val="0000056A"/>
    <w:rsid w:val="00000770"/>
    <w:rsid w:val="00000C84"/>
    <w:rsid w:val="0000141D"/>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50CC"/>
    <w:rsid w:val="000E514B"/>
    <w:rsid w:val="000E53B4"/>
    <w:rsid w:val="000E5414"/>
    <w:rsid w:val="000E545A"/>
    <w:rsid w:val="000E5B2F"/>
    <w:rsid w:val="000E5C2A"/>
    <w:rsid w:val="000E5DAA"/>
    <w:rsid w:val="000E66D0"/>
    <w:rsid w:val="000E7E5F"/>
    <w:rsid w:val="000F02CD"/>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D5F"/>
    <w:rsid w:val="00127310"/>
    <w:rsid w:val="00127339"/>
    <w:rsid w:val="00127489"/>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E03"/>
    <w:rsid w:val="0014745A"/>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A79"/>
    <w:rsid w:val="001D041C"/>
    <w:rsid w:val="001D097C"/>
    <w:rsid w:val="001D0BB3"/>
    <w:rsid w:val="001D0C77"/>
    <w:rsid w:val="001D0E1F"/>
    <w:rsid w:val="001D13CF"/>
    <w:rsid w:val="001D1E48"/>
    <w:rsid w:val="001D2C39"/>
    <w:rsid w:val="001D2F65"/>
    <w:rsid w:val="001D2F6D"/>
    <w:rsid w:val="001D39AC"/>
    <w:rsid w:val="001D4123"/>
    <w:rsid w:val="001D4429"/>
    <w:rsid w:val="001D46C3"/>
    <w:rsid w:val="001D47AF"/>
    <w:rsid w:val="001D4B3F"/>
    <w:rsid w:val="001D4BF5"/>
    <w:rsid w:val="001D56B2"/>
    <w:rsid w:val="001D5700"/>
    <w:rsid w:val="001D5CC3"/>
    <w:rsid w:val="001D621B"/>
    <w:rsid w:val="001D690C"/>
    <w:rsid w:val="001D6963"/>
    <w:rsid w:val="001D713A"/>
    <w:rsid w:val="001D78CA"/>
    <w:rsid w:val="001D7A3F"/>
    <w:rsid w:val="001D7F9D"/>
    <w:rsid w:val="001E0CAB"/>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24A"/>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213A"/>
    <w:rsid w:val="002A2275"/>
    <w:rsid w:val="002A35F8"/>
    <w:rsid w:val="002A3C1A"/>
    <w:rsid w:val="002A4707"/>
    <w:rsid w:val="002A480E"/>
    <w:rsid w:val="002A4893"/>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C8C"/>
    <w:rsid w:val="002F5CF7"/>
    <w:rsid w:val="002F5DF8"/>
    <w:rsid w:val="002F634C"/>
    <w:rsid w:val="002F6371"/>
    <w:rsid w:val="002F6B81"/>
    <w:rsid w:val="002F6E14"/>
    <w:rsid w:val="002F721B"/>
    <w:rsid w:val="002F7693"/>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EDA"/>
    <w:rsid w:val="0037723B"/>
    <w:rsid w:val="003772CC"/>
    <w:rsid w:val="0038083F"/>
    <w:rsid w:val="003808F4"/>
    <w:rsid w:val="00380B97"/>
    <w:rsid w:val="003812FC"/>
    <w:rsid w:val="0038219D"/>
    <w:rsid w:val="003821D0"/>
    <w:rsid w:val="003828E5"/>
    <w:rsid w:val="003831F3"/>
    <w:rsid w:val="00383BB5"/>
    <w:rsid w:val="0038434C"/>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400145"/>
    <w:rsid w:val="0040029D"/>
    <w:rsid w:val="00400C51"/>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719E"/>
    <w:rsid w:val="00497424"/>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EEF"/>
    <w:rsid w:val="004B4F31"/>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C36"/>
    <w:rsid w:val="00502CC3"/>
    <w:rsid w:val="00503475"/>
    <w:rsid w:val="0050396E"/>
    <w:rsid w:val="00503C8A"/>
    <w:rsid w:val="00504100"/>
    <w:rsid w:val="00504D28"/>
    <w:rsid w:val="0050554E"/>
    <w:rsid w:val="00505590"/>
    <w:rsid w:val="005057C3"/>
    <w:rsid w:val="00505FF1"/>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63C"/>
    <w:rsid w:val="00522599"/>
    <w:rsid w:val="005226CB"/>
    <w:rsid w:val="0052271C"/>
    <w:rsid w:val="00522E3E"/>
    <w:rsid w:val="00522E9A"/>
    <w:rsid w:val="0052332D"/>
    <w:rsid w:val="00523872"/>
    <w:rsid w:val="00523AFB"/>
    <w:rsid w:val="00523D62"/>
    <w:rsid w:val="00523E0E"/>
    <w:rsid w:val="00523F21"/>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21DA"/>
    <w:rsid w:val="00572373"/>
    <w:rsid w:val="0057315C"/>
    <w:rsid w:val="0057391E"/>
    <w:rsid w:val="00573B06"/>
    <w:rsid w:val="0057410C"/>
    <w:rsid w:val="00574497"/>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959"/>
    <w:rsid w:val="0074698C"/>
    <w:rsid w:val="00746F78"/>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F3"/>
    <w:rsid w:val="008346FB"/>
    <w:rsid w:val="00834C16"/>
    <w:rsid w:val="0083510E"/>
    <w:rsid w:val="00835342"/>
    <w:rsid w:val="008353A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46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C0B"/>
    <w:rsid w:val="009A6CEA"/>
    <w:rsid w:val="009A7370"/>
    <w:rsid w:val="009A7B62"/>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A6B"/>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C66"/>
    <w:rsid w:val="00C55E7C"/>
    <w:rsid w:val="00C56C4F"/>
    <w:rsid w:val="00C57167"/>
    <w:rsid w:val="00C571F2"/>
    <w:rsid w:val="00C57481"/>
    <w:rsid w:val="00C5793E"/>
    <w:rsid w:val="00C5797A"/>
    <w:rsid w:val="00C57A5C"/>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A73"/>
    <w:rsid w:val="00CB2B57"/>
    <w:rsid w:val="00CB2D07"/>
    <w:rsid w:val="00CB2D15"/>
    <w:rsid w:val="00CB363B"/>
    <w:rsid w:val="00CB4200"/>
    <w:rsid w:val="00CB4481"/>
    <w:rsid w:val="00CB51B3"/>
    <w:rsid w:val="00CB5572"/>
    <w:rsid w:val="00CB563C"/>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BBF"/>
    <w:rsid w:val="00CE5C64"/>
    <w:rsid w:val="00CE5DD2"/>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37"/>
    <w:rsid w:val="00CF7F39"/>
    <w:rsid w:val="00D0006D"/>
    <w:rsid w:val="00D00B43"/>
    <w:rsid w:val="00D00B4F"/>
    <w:rsid w:val="00D00C98"/>
    <w:rsid w:val="00D01B24"/>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5F0A"/>
    <w:rsid w:val="00D267DC"/>
    <w:rsid w:val="00D26960"/>
    <w:rsid w:val="00D27143"/>
    <w:rsid w:val="00D27428"/>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A0400"/>
    <w:rsid w:val="00DA0AE2"/>
    <w:rsid w:val="00DA0E9F"/>
    <w:rsid w:val="00DA165D"/>
    <w:rsid w:val="00DA1D61"/>
    <w:rsid w:val="00DA1E87"/>
    <w:rsid w:val="00DA21AC"/>
    <w:rsid w:val="00DA2894"/>
    <w:rsid w:val="00DA2A37"/>
    <w:rsid w:val="00DA2CF9"/>
    <w:rsid w:val="00DA2F9A"/>
    <w:rsid w:val="00DA3722"/>
    <w:rsid w:val="00DA3854"/>
    <w:rsid w:val="00DA385D"/>
    <w:rsid w:val="00DA3B16"/>
    <w:rsid w:val="00DA42BE"/>
    <w:rsid w:val="00DA51ED"/>
    <w:rsid w:val="00DA5AA9"/>
    <w:rsid w:val="00DA5C34"/>
    <w:rsid w:val="00DA6159"/>
    <w:rsid w:val="00DA6B9E"/>
    <w:rsid w:val="00DA7267"/>
    <w:rsid w:val="00DA7522"/>
    <w:rsid w:val="00DA783C"/>
    <w:rsid w:val="00DA7A63"/>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B10"/>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20F1"/>
    <w:rsid w:val="00F12188"/>
    <w:rsid w:val="00F125CC"/>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Wingdings 2"/>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decuerpo">
    <w:name w:val="Body Text Indent"/>
    <w:basedOn w:val="Normal"/>
    <w:link w:val="SangradetdecuerpoCar"/>
    <w:rsid w:val="006A305C"/>
    <w:pPr>
      <w:ind w:left="142" w:hanging="142"/>
      <w:jc w:val="left"/>
    </w:pPr>
    <w:rPr>
      <w:rFonts w:ascii="Tahoma" w:eastAsia="Times New Roman" w:hAnsi="Tahoma"/>
      <w:sz w:val="20"/>
      <w:szCs w:val="20"/>
      <w:lang w:val="es-ES_tradnl" w:eastAsia="es-ES"/>
    </w:rPr>
  </w:style>
  <w:style w:type="character" w:customStyle="1" w:styleId="SangradetdecuerpoCar">
    <w:name w:val="Sangría de t. de cuerpo Car"/>
    <w:link w:val="Sangradetdecuerpo"/>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decuerpo">
    <w:name w:val="Body Text"/>
    <w:basedOn w:val="Normal"/>
    <w:link w:val="TextodecuerpoCar"/>
    <w:rsid w:val="00CC4759"/>
    <w:pPr>
      <w:spacing w:after="120"/>
      <w:jc w:val="left"/>
    </w:pPr>
    <w:rPr>
      <w:rFonts w:ascii="ChanticleerRoman" w:eastAsia="Times New Roman" w:hAnsi="ChanticleerRoman"/>
      <w:lang w:val="es-ES" w:eastAsia="es-ES"/>
    </w:rPr>
  </w:style>
  <w:style w:type="character" w:customStyle="1" w:styleId="TextodecuerpoCar">
    <w:name w:val="Texto de cuerpo Car"/>
    <w:link w:val="Textodecuerpo"/>
    <w:rsid w:val="00CC4759"/>
    <w:rPr>
      <w:rFonts w:ascii="ChanticleerRoman" w:eastAsia="Times New Roman" w:hAnsi="ChanticleerRoman"/>
      <w:sz w:val="24"/>
      <w:szCs w:val="24"/>
      <w:lang w:val="es-ES" w:eastAsia="es-ES"/>
    </w:rPr>
  </w:style>
  <w:style w:type="paragraph" w:styleId="Textodecuerpo3">
    <w:name w:val="Body Text 3"/>
    <w:basedOn w:val="Normal"/>
    <w:link w:val="Textodecuerpo3Car"/>
    <w:rsid w:val="00CC4759"/>
    <w:pPr>
      <w:spacing w:after="120"/>
      <w:jc w:val="left"/>
    </w:pPr>
    <w:rPr>
      <w:rFonts w:ascii="Times New Roman" w:eastAsia="Times New Roman" w:hAnsi="Times New Roman"/>
      <w:sz w:val="16"/>
      <w:szCs w:val="16"/>
      <w:lang w:val="es-ES" w:eastAsia="es-ES"/>
    </w:rPr>
  </w:style>
  <w:style w:type="character" w:customStyle="1" w:styleId="Textodecuerpo3Car">
    <w:name w:val="Texto de cuerpo 3 Car"/>
    <w:link w:val="Textodecuerpo3"/>
    <w:rsid w:val="00CC4759"/>
    <w:rPr>
      <w:rFonts w:ascii="Times New Roman" w:eastAsia="Times New Roman" w:hAnsi="Times New Roman"/>
      <w:sz w:val="16"/>
      <w:szCs w:val="16"/>
      <w:lang w:val="es-ES" w:eastAsia="es-ES"/>
    </w:rPr>
  </w:style>
  <w:style w:type="paragraph" w:styleId="Sangra3detdecuerpo">
    <w:name w:val="Body Text Indent 3"/>
    <w:basedOn w:val="Normal"/>
    <w:link w:val="Sangra3detdecuerpo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decuerpoCar">
    <w:name w:val="Sangría 3 de t. de cuerpo Car"/>
    <w:link w:val="Sangra3detdecuerpo"/>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E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r="http://schemas.openxmlformats.org/officeDocument/2006/relationships" xmlns:w="http://schemas.openxmlformats.org/wordprocessingml/2006/main">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90E58-1AE1-47B2-90D0-A3B3B3B4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756</Words>
  <Characters>4310</Characters>
  <Application>Microsoft Word 12.0.0</Application>
  <DocSecurity>0</DocSecurity>
  <Lines>35</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Esbeidy Blanco García</cp:lastModifiedBy>
  <cp:revision>73</cp:revision>
  <cp:lastPrinted>2017-03-23T00:31:00Z</cp:lastPrinted>
  <dcterms:created xsi:type="dcterms:W3CDTF">2018-10-23T16:47:00Z</dcterms:created>
  <dcterms:modified xsi:type="dcterms:W3CDTF">2018-10-23T19:36:00Z</dcterms:modified>
</cp:coreProperties>
</file>