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A3" w:rsidRDefault="000D43A3" w:rsidP="000D43A3">
      <w:pPr>
        <w:jc w:val="center"/>
        <w:rPr>
          <w:rFonts w:ascii="Arial" w:hAnsi="Arial" w:cs="Arial"/>
          <w:b/>
          <w:sz w:val="28"/>
          <w:szCs w:val="28"/>
          <w:lang w:eastAsia="es-MX"/>
        </w:rPr>
      </w:pPr>
      <w:r w:rsidRPr="000D43A3">
        <w:rPr>
          <w:rFonts w:ascii="Arial" w:hAnsi="Arial" w:cs="Arial"/>
          <w:b/>
          <w:sz w:val="28"/>
          <w:szCs w:val="28"/>
          <w:lang w:eastAsia="es-MX"/>
        </w:rPr>
        <w:t xml:space="preserve">IVAI da vista a Contralor </w:t>
      </w:r>
      <w:r>
        <w:rPr>
          <w:rFonts w:ascii="Arial" w:hAnsi="Arial" w:cs="Arial"/>
          <w:b/>
          <w:sz w:val="28"/>
          <w:szCs w:val="28"/>
          <w:lang w:eastAsia="es-MX"/>
        </w:rPr>
        <w:t xml:space="preserve">Interno de </w:t>
      </w:r>
      <w:r w:rsidRPr="000D43A3">
        <w:rPr>
          <w:rFonts w:ascii="Arial" w:hAnsi="Arial" w:cs="Arial"/>
          <w:b/>
          <w:sz w:val="28"/>
          <w:szCs w:val="28"/>
          <w:lang w:eastAsia="es-MX"/>
        </w:rPr>
        <w:t xml:space="preserve">Nanchital </w:t>
      </w:r>
    </w:p>
    <w:p w:rsidR="0004467C" w:rsidRPr="00AF2A81" w:rsidRDefault="000D43A3" w:rsidP="000D43A3">
      <w:pPr>
        <w:jc w:val="center"/>
        <w:rPr>
          <w:rFonts w:ascii="Arial" w:hAnsi="Arial" w:cs="Arial"/>
          <w:b/>
          <w:sz w:val="28"/>
          <w:szCs w:val="28"/>
          <w:highlight w:val="yellow"/>
          <w:lang w:eastAsia="es-MX"/>
        </w:rPr>
      </w:pPr>
      <w:proofErr w:type="gramStart"/>
      <w:r w:rsidRPr="000D43A3">
        <w:rPr>
          <w:rFonts w:ascii="Arial" w:hAnsi="Arial" w:cs="Arial"/>
          <w:b/>
          <w:sz w:val="28"/>
          <w:szCs w:val="28"/>
          <w:lang w:eastAsia="es-MX"/>
        </w:rPr>
        <w:t>por</w:t>
      </w:r>
      <w:proofErr w:type="gramEnd"/>
      <w:r w:rsidRPr="000D43A3">
        <w:rPr>
          <w:rFonts w:ascii="Arial" w:hAnsi="Arial" w:cs="Arial"/>
          <w:b/>
          <w:sz w:val="28"/>
          <w:szCs w:val="28"/>
          <w:lang w:eastAsia="es-MX"/>
        </w:rPr>
        <w:t xml:space="preserve"> incongruencia en información pública </w:t>
      </w:r>
    </w:p>
    <w:p w:rsidR="000D43A3" w:rsidRDefault="000D43A3" w:rsidP="00AF2A81">
      <w:pPr>
        <w:rPr>
          <w:rFonts w:ascii="Arial" w:hAnsi="Arial" w:cs="Arial"/>
          <w:lang w:eastAsia="es-MX"/>
        </w:rPr>
      </w:pPr>
    </w:p>
    <w:p w:rsidR="000D43A3" w:rsidRDefault="000D43A3" w:rsidP="00AF2A81">
      <w:pPr>
        <w:rPr>
          <w:rFonts w:ascii="Arial" w:hAnsi="Arial" w:cs="Arial"/>
          <w:lang w:eastAsia="es-MX"/>
        </w:rPr>
      </w:pPr>
    </w:p>
    <w:p w:rsidR="000D43A3" w:rsidRDefault="000D43A3" w:rsidP="009C6EDD">
      <w:pPr>
        <w:pStyle w:val="Prrafodelista"/>
        <w:numPr>
          <w:ilvl w:val="0"/>
          <w:numId w:val="28"/>
        </w:numPr>
        <w:ind w:left="426" w:hanging="284"/>
        <w:rPr>
          <w:rFonts w:ascii="Arial" w:hAnsi="Arial" w:cs="Arial"/>
          <w:sz w:val="20"/>
          <w:szCs w:val="20"/>
          <w:lang w:eastAsia="es-MX"/>
        </w:rPr>
      </w:pPr>
      <w:r>
        <w:rPr>
          <w:rFonts w:ascii="Arial" w:hAnsi="Arial" w:cs="Arial"/>
          <w:sz w:val="20"/>
          <w:szCs w:val="20"/>
          <w:lang w:eastAsia="es-MX"/>
        </w:rPr>
        <w:t xml:space="preserve">Lo que </w:t>
      </w:r>
      <w:r w:rsidR="009C6EDD">
        <w:rPr>
          <w:rFonts w:ascii="Arial" w:hAnsi="Arial" w:cs="Arial"/>
          <w:sz w:val="20"/>
          <w:szCs w:val="20"/>
          <w:lang w:eastAsia="es-MX"/>
        </w:rPr>
        <w:t xml:space="preserve">se </w:t>
      </w:r>
      <w:r>
        <w:rPr>
          <w:rFonts w:ascii="Arial" w:hAnsi="Arial" w:cs="Arial"/>
          <w:sz w:val="20"/>
          <w:szCs w:val="20"/>
          <w:lang w:eastAsia="es-MX"/>
        </w:rPr>
        <w:t>respondió a una solicitud difiere de lo publicado en portal y Plataforma de Transparencia</w:t>
      </w:r>
    </w:p>
    <w:p w:rsidR="000D43A3" w:rsidRPr="000D43A3" w:rsidRDefault="000D43A3" w:rsidP="009C6EDD">
      <w:pPr>
        <w:pStyle w:val="Prrafodelista"/>
        <w:numPr>
          <w:ilvl w:val="0"/>
          <w:numId w:val="28"/>
        </w:numPr>
        <w:ind w:left="426" w:hanging="284"/>
        <w:rPr>
          <w:rFonts w:ascii="Arial" w:hAnsi="Arial" w:cs="Arial"/>
          <w:lang w:eastAsia="es-MX"/>
        </w:rPr>
      </w:pPr>
      <w:r w:rsidRPr="000D43A3">
        <w:rPr>
          <w:rFonts w:ascii="Arial" w:hAnsi="Arial" w:cs="Arial"/>
          <w:sz w:val="20"/>
          <w:szCs w:val="20"/>
          <w:lang w:eastAsia="es-MX"/>
        </w:rPr>
        <w:t xml:space="preserve">El Instituto está impedido para analizar veracidad pero puede revisar congruencia y exhaustividad de los sujetos obligados </w:t>
      </w:r>
    </w:p>
    <w:p w:rsidR="000D43A3" w:rsidRDefault="000D43A3" w:rsidP="00AF2A81">
      <w:pPr>
        <w:rPr>
          <w:rFonts w:ascii="Arial" w:hAnsi="Arial" w:cs="Arial"/>
          <w:lang w:eastAsia="es-MX"/>
        </w:rPr>
      </w:pPr>
    </w:p>
    <w:p w:rsidR="00CE2968" w:rsidRDefault="00CA6FA5" w:rsidP="004855D5">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AF2A81">
        <w:rPr>
          <w:rFonts w:ascii="Arial" w:hAnsi="Arial" w:cs="Arial"/>
          <w:lang w:eastAsia="es-MX"/>
        </w:rPr>
        <w:t>20</w:t>
      </w:r>
      <w:r w:rsidRPr="00C100F6">
        <w:rPr>
          <w:rFonts w:ascii="Arial" w:hAnsi="Arial" w:cs="Arial"/>
          <w:lang w:eastAsia="es-MX"/>
        </w:rPr>
        <w:t xml:space="preserve"> </w:t>
      </w:r>
      <w:r w:rsidR="006F1728" w:rsidRPr="00C100F6">
        <w:rPr>
          <w:rFonts w:ascii="Arial" w:hAnsi="Arial" w:cs="Arial"/>
          <w:lang w:eastAsia="es-MX"/>
        </w:rPr>
        <w:t xml:space="preserve">de </w:t>
      </w:r>
      <w:r w:rsidR="00CC5346">
        <w:rPr>
          <w:rFonts w:ascii="Arial" w:hAnsi="Arial" w:cs="Arial"/>
          <w:lang w:eastAsia="es-MX"/>
        </w:rPr>
        <w:t>junio</w:t>
      </w:r>
      <w:r w:rsidR="00367B37">
        <w:rPr>
          <w:rFonts w:ascii="Arial" w:hAnsi="Arial" w:cs="Arial"/>
          <w:lang w:eastAsia="es-MX"/>
        </w:rPr>
        <w:t xml:space="preserve">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451ECE">
        <w:rPr>
          <w:rFonts w:ascii="Arial" w:hAnsi="Arial" w:cs="Arial"/>
          <w:lang w:eastAsia="es-MX"/>
        </w:rPr>
        <w:t xml:space="preserve">Al resolver el recurso de revisión </w:t>
      </w:r>
      <w:r w:rsidR="00451ECE" w:rsidRPr="00451ECE">
        <w:rPr>
          <w:rFonts w:ascii="Arial" w:hAnsi="Arial" w:cs="Arial"/>
          <w:lang w:eastAsia="es-MX"/>
        </w:rPr>
        <w:t>IVAI-REV/680/2018/I</w:t>
      </w:r>
      <w:r w:rsidR="00451ECE">
        <w:rPr>
          <w:rFonts w:ascii="Arial" w:hAnsi="Arial" w:cs="Arial"/>
          <w:lang w:eastAsia="es-MX"/>
        </w:rPr>
        <w:t xml:space="preserve">, interpuesto en contra del </w:t>
      </w:r>
      <w:r w:rsidR="00451ECE" w:rsidRPr="00451ECE">
        <w:rPr>
          <w:rFonts w:ascii="Arial" w:hAnsi="Arial" w:cs="Arial"/>
          <w:lang w:eastAsia="es-MX"/>
        </w:rPr>
        <w:t>Ayuntamiento de Nanchital</w:t>
      </w:r>
      <w:r w:rsidR="00451ECE">
        <w:rPr>
          <w:rFonts w:ascii="Arial" w:hAnsi="Arial" w:cs="Arial"/>
          <w:lang w:eastAsia="es-MX"/>
        </w:rPr>
        <w:t xml:space="preserve">, el Instituto Veracruzano de Acceso a la Información y Protección de Datos Personales (IVAI) </w:t>
      </w:r>
      <w:r w:rsidR="004855D5">
        <w:rPr>
          <w:rFonts w:ascii="Arial" w:hAnsi="Arial" w:cs="Arial"/>
          <w:lang w:eastAsia="es-MX"/>
        </w:rPr>
        <w:t>orden</w:t>
      </w:r>
      <w:r w:rsidR="00CE2968">
        <w:rPr>
          <w:rFonts w:ascii="Arial" w:hAnsi="Arial" w:cs="Arial"/>
          <w:lang w:eastAsia="es-MX"/>
        </w:rPr>
        <w:t xml:space="preserve">ó dar vista al </w:t>
      </w:r>
      <w:r w:rsidR="004855D5">
        <w:rPr>
          <w:rFonts w:ascii="Arial" w:hAnsi="Arial" w:cs="Arial"/>
          <w:lang w:eastAsia="es-MX"/>
        </w:rPr>
        <w:t xml:space="preserve">contralor interno </w:t>
      </w:r>
      <w:r w:rsidR="00B6468E">
        <w:rPr>
          <w:rFonts w:ascii="Arial" w:hAnsi="Arial" w:cs="Arial"/>
          <w:lang w:eastAsia="es-MX"/>
        </w:rPr>
        <w:t xml:space="preserve">de dicho sujeto obligado </w:t>
      </w:r>
      <w:r w:rsidR="004855D5" w:rsidRPr="004855D5">
        <w:rPr>
          <w:rFonts w:ascii="Arial" w:hAnsi="Arial" w:cs="Arial"/>
          <w:lang w:eastAsia="es-MX"/>
        </w:rPr>
        <w:t xml:space="preserve">para que verifique las razones por las cuales no existe congruencia entre lo </w:t>
      </w:r>
      <w:r w:rsidR="00CE2968">
        <w:rPr>
          <w:rFonts w:ascii="Arial" w:hAnsi="Arial" w:cs="Arial"/>
          <w:lang w:eastAsia="es-MX"/>
        </w:rPr>
        <w:t>respondido a una solicitud de información</w:t>
      </w:r>
      <w:r w:rsidR="00CE2968" w:rsidRPr="004855D5">
        <w:rPr>
          <w:rFonts w:ascii="Arial" w:hAnsi="Arial" w:cs="Arial"/>
          <w:lang w:eastAsia="es-MX"/>
        </w:rPr>
        <w:t xml:space="preserve"> </w:t>
      </w:r>
      <w:r w:rsidR="00CE2968">
        <w:rPr>
          <w:rFonts w:ascii="Arial" w:hAnsi="Arial" w:cs="Arial"/>
          <w:lang w:eastAsia="es-MX"/>
        </w:rPr>
        <w:t xml:space="preserve">y lo </w:t>
      </w:r>
      <w:r w:rsidR="004855D5" w:rsidRPr="004855D5">
        <w:rPr>
          <w:rFonts w:ascii="Arial" w:hAnsi="Arial" w:cs="Arial"/>
          <w:lang w:eastAsia="es-MX"/>
        </w:rPr>
        <w:t xml:space="preserve">publicado en </w:t>
      </w:r>
      <w:r w:rsidR="00CE2968">
        <w:rPr>
          <w:rFonts w:ascii="Arial" w:hAnsi="Arial" w:cs="Arial"/>
          <w:lang w:eastAsia="es-MX"/>
        </w:rPr>
        <w:t xml:space="preserve">la página de internet del municipio </w:t>
      </w:r>
      <w:r w:rsidR="004855D5" w:rsidRPr="004855D5">
        <w:rPr>
          <w:rFonts w:ascii="Arial" w:hAnsi="Arial" w:cs="Arial"/>
          <w:lang w:eastAsia="es-MX"/>
        </w:rPr>
        <w:t>y la Plataforma Nacional de Transparencia</w:t>
      </w:r>
      <w:r w:rsidR="00CE2968">
        <w:rPr>
          <w:rFonts w:ascii="Arial" w:hAnsi="Arial" w:cs="Arial"/>
          <w:lang w:eastAsia="es-MX"/>
        </w:rPr>
        <w:t xml:space="preserve">. </w:t>
      </w:r>
    </w:p>
    <w:p w:rsidR="00CE2968" w:rsidRDefault="00CE2968" w:rsidP="004855D5">
      <w:pPr>
        <w:rPr>
          <w:rFonts w:ascii="Arial" w:hAnsi="Arial" w:cs="Arial"/>
          <w:lang w:eastAsia="es-MX"/>
        </w:rPr>
      </w:pPr>
    </w:p>
    <w:p w:rsidR="004855D5" w:rsidRPr="004855D5" w:rsidRDefault="00CE2968" w:rsidP="004855D5">
      <w:pPr>
        <w:rPr>
          <w:rFonts w:ascii="Arial" w:hAnsi="Arial" w:cs="Arial"/>
          <w:lang w:eastAsia="es-MX"/>
        </w:rPr>
      </w:pPr>
      <w:r>
        <w:rPr>
          <w:rFonts w:ascii="Arial" w:hAnsi="Arial" w:cs="Arial"/>
          <w:lang w:eastAsia="es-MX"/>
        </w:rPr>
        <w:t xml:space="preserve">Asimismo, para que </w:t>
      </w:r>
      <w:r w:rsidR="00A009B8">
        <w:rPr>
          <w:rFonts w:ascii="Arial" w:hAnsi="Arial" w:cs="Arial"/>
          <w:lang w:eastAsia="es-MX"/>
        </w:rPr>
        <w:t>–</w:t>
      </w:r>
      <w:r w:rsidR="004855D5" w:rsidRPr="004855D5">
        <w:rPr>
          <w:rFonts w:ascii="Arial" w:hAnsi="Arial" w:cs="Arial"/>
          <w:lang w:eastAsia="es-MX"/>
        </w:rPr>
        <w:t>en caso de advertir alguna responsabilidad</w:t>
      </w:r>
      <w:r w:rsidR="00A009B8">
        <w:rPr>
          <w:rFonts w:ascii="Arial" w:hAnsi="Arial" w:cs="Arial"/>
          <w:lang w:eastAsia="es-MX"/>
        </w:rPr>
        <w:t>–</w:t>
      </w:r>
      <w:r w:rsidR="004855D5" w:rsidRPr="004855D5">
        <w:rPr>
          <w:rFonts w:ascii="Arial" w:hAnsi="Arial" w:cs="Arial"/>
          <w:lang w:eastAsia="es-MX"/>
        </w:rPr>
        <w:t xml:space="preserve"> inicie el procedimiento o aplique las sanciones correspondientes </w:t>
      </w:r>
      <w:r>
        <w:rPr>
          <w:rFonts w:ascii="Arial" w:hAnsi="Arial" w:cs="Arial"/>
          <w:lang w:eastAsia="es-MX"/>
        </w:rPr>
        <w:t xml:space="preserve">y </w:t>
      </w:r>
      <w:r w:rsidR="004855D5" w:rsidRPr="004855D5">
        <w:rPr>
          <w:rFonts w:ascii="Arial" w:hAnsi="Arial" w:cs="Arial"/>
          <w:lang w:eastAsia="es-MX"/>
        </w:rPr>
        <w:t xml:space="preserve">verifique que </w:t>
      </w:r>
      <w:r>
        <w:rPr>
          <w:rFonts w:ascii="Arial" w:hAnsi="Arial" w:cs="Arial"/>
          <w:lang w:eastAsia="es-MX"/>
        </w:rPr>
        <w:t xml:space="preserve">cuando se </w:t>
      </w:r>
      <w:r w:rsidR="008F45FF">
        <w:rPr>
          <w:rFonts w:ascii="Arial" w:hAnsi="Arial" w:cs="Arial"/>
          <w:lang w:eastAsia="es-MX"/>
        </w:rPr>
        <w:t>cumpla</w:t>
      </w:r>
      <w:r>
        <w:rPr>
          <w:rFonts w:ascii="Arial" w:hAnsi="Arial" w:cs="Arial"/>
          <w:lang w:eastAsia="es-MX"/>
        </w:rPr>
        <w:t xml:space="preserve"> con </w:t>
      </w:r>
      <w:r w:rsidR="00A009B8">
        <w:rPr>
          <w:rFonts w:ascii="Arial" w:hAnsi="Arial" w:cs="Arial"/>
          <w:lang w:eastAsia="es-MX"/>
        </w:rPr>
        <w:t xml:space="preserve">esta </w:t>
      </w:r>
      <w:r>
        <w:rPr>
          <w:rFonts w:ascii="Arial" w:hAnsi="Arial" w:cs="Arial"/>
          <w:lang w:eastAsia="es-MX"/>
        </w:rPr>
        <w:t>resolución</w:t>
      </w:r>
      <w:r w:rsidR="004855D5" w:rsidRPr="004855D5">
        <w:rPr>
          <w:rFonts w:ascii="Arial" w:hAnsi="Arial" w:cs="Arial"/>
          <w:lang w:eastAsia="es-MX"/>
        </w:rPr>
        <w:t>, exista concordancia entre la respuesta que se emita y lo publicado.</w:t>
      </w:r>
    </w:p>
    <w:p w:rsidR="000D43A3" w:rsidRDefault="000D43A3" w:rsidP="00AF2A81">
      <w:pPr>
        <w:rPr>
          <w:rFonts w:ascii="Arial" w:hAnsi="Arial" w:cs="Arial"/>
          <w:lang w:eastAsia="es-MX"/>
        </w:rPr>
      </w:pPr>
    </w:p>
    <w:p w:rsidR="004B4F31" w:rsidRDefault="004B4F31" w:rsidP="00241B0F">
      <w:pPr>
        <w:rPr>
          <w:rFonts w:ascii="Arial" w:hAnsi="Arial" w:cs="Arial"/>
          <w:lang w:eastAsia="es-MX"/>
        </w:rPr>
      </w:pPr>
      <w:r>
        <w:rPr>
          <w:rFonts w:ascii="Arial" w:hAnsi="Arial" w:cs="Arial"/>
          <w:lang w:eastAsia="es-MX"/>
        </w:rPr>
        <w:t xml:space="preserve">Esto se derivó a raíz de que una persona </w:t>
      </w:r>
      <w:r w:rsidR="00A009B8">
        <w:rPr>
          <w:rFonts w:ascii="Arial" w:hAnsi="Arial" w:cs="Arial"/>
          <w:lang w:eastAsia="es-MX"/>
        </w:rPr>
        <w:t>requirió</w:t>
      </w:r>
      <w:r>
        <w:rPr>
          <w:rFonts w:ascii="Arial" w:hAnsi="Arial" w:cs="Arial"/>
          <w:lang w:eastAsia="es-MX"/>
        </w:rPr>
        <w:t xml:space="preserve"> conocer </w:t>
      </w:r>
      <w:r w:rsidRPr="004B4F31">
        <w:rPr>
          <w:rFonts w:ascii="Arial" w:hAnsi="Arial" w:cs="Arial"/>
          <w:lang w:eastAsia="es-MX"/>
        </w:rPr>
        <w:t>nombre comple</w:t>
      </w:r>
      <w:r w:rsidR="00BD476A">
        <w:rPr>
          <w:rFonts w:ascii="Arial" w:hAnsi="Arial" w:cs="Arial"/>
          <w:lang w:eastAsia="es-MX"/>
        </w:rPr>
        <w:t>to del personal que se encontraba</w:t>
      </w:r>
      <w:r w:rsidRPr="004B4F31">
        <w:rPr>
          <w:rFonts w:ascii="Arial" w:hAnsi="Arial" w:cs="Arial"/>
          <w:lang w:eastAsia="es-MX"/>
        </w:rPr>
        <w:t xml:space="preserve"> asignado a la </w:t>
      </w:r>
      <w:r>
        <w:rPr>
          <w:rFonts w:ascii="Arial" w:hAnsi="Arial" w:cs="Arial"/>
          <w:lang w:eastAsia="es-MX"/>
        </w:rPr>
        <w:t>U</w:t>
      </w:r>
      <w:r w:rsidRPr="004B4F31">
        <w:rPr>
          <w:rFonts w:ascii="Arial" w:hAnsi="Arial" w:cs="Arial"/>
          <w:lang w:eastAsia="es-MX"/>
        </w:rPr>
        <w:t xml:space="preserve">nidad de </w:t>
      </w:r>
      <w:r>
        <w:rPr>
          <w:rFonts w:ascii="Arial" w:hAnsi="Arial" w:cs="Arial"/>
          <w:lang w:eastAsia="es-MX"/>
        </w:rPr>
        <w:t>T</w:t>
      </w:r>
      <w:r w:rsidRPr="004B4F31">
        <w:rPr>
          <w:rFonts w:ascii="Arial" w:hAnsi="Arial" w:cs="Arial"/>
          <w:lang w:eastAsia="es-MX"/>
        </w:rPr>
        <w:t>ransparencia</w:t>
      </w:r>
      <w:r w:rsidR="00A009B8">
        <w:rPr>
          <w:rFonts w:ascii="Arial" w:hAnsi="Arial" w:cs="Arial"/>
          <w:lang w:eastAsia="es-MX"/>
        </w:rPr>
        <w:t>;</w:t>
      </w:r>
      <w:r w:rsidRPr="004B4F31">
        <w:rPr>
          <w:rFonts w:ascii="Arial" w:hAnsi="Arial" w:cs="Arial"/>
          <w:lang w:eastAsia="es-MX"/>
        </w:rPr>
        <w:t xml:space="preserve"> cargo</w:t>
      </w:r>
      <w:r w:rsidR="00A009B8">
        <w:rPr>
          <w:rFonts w:ascii="Arial" w:hAnsi="Arial" w:cs="Arial"/>
          <w:lang w:eastAsia="es-MX"/>
        </w:rPr>
        <w:t>;</w:t>
      </w:r>
      <w:r w:rsidRPr="004B4F31">
        <w:rPr>
          <w:rFonts w:ascii="Arial" w:hAnsi="Arial" w:cs="Arial"/>
          <w:lang w:eastAsia="es-MX"/>
        </w:rPr>
        <w:t xml:space="preserve"> experiencia comprobable en materia de transparencia y acceso a la información</w:t>
      </w:r>
      <w:r w:rsidR="00A009B8">
        <w:rPr>
          <w:rFonts w:ascii="Arial" w:hAnsi="Arial" w:cs="Arial"/>
          <w:lang w:eastAsia="es-MX"/>
        </w:rPr>
        <w:t>;</w:t>
      </w:r>
      <w:r w:rsidRPr="004B4F31">
        <w:rPr>
          <w:rFonts w:ascii="Arial" w:hAnsi="Arial" w:cs="Arial"/>
          <w:lang w:eastAsia="es-MX"/>
        </w:rPr>
        <w:t xml:space="preserve"> salario</w:t>
      </w:r>
      <w:r w:rsidR="00A009B8">
        <w:rPr>
          <w:rFonts w:ascii="Arial" w:hAnsi="Arial" w:cs="Arial"/>
          <w:lang w:eastAsia="es-MX"/>
        </w:rPr>
        <w:t>;</w:t>
      </w:r>
      <w:r w:rsidRPr="004B4F31">
        <w:rPr>
          <w:rFonts w:ascii="Arial" w:hAnsi="Arial" w:cs="Arial"/>
          <w:lang w:eastAsia="es-MX"/>
        </w:rPr>
        <w:t xml:space="preserve"> cursos que han impartido</w:t>
      </w:r>
      <w:r>
        <w:rPr>
          <w:rFonts w:ascii="Arial" w:hAnsi="Arial" w:cs="Arial"/>
          <w:lang w:eastAsia="es-MX"/>
        </w:rPr>
        <w:t xml:space="preserve"> y</w:t>
      </w:r>
      <w:r w:rsidRPr="004B4F31">
        <w:rPr>
          <w:rFonts w:ascii="Arial" w:hAnsi="Arial" w:cs="Arial"/>
          <w:lang w:eastAsia="es-MX"/>
        </w:rPr>
        <w:t xml:space="preserve"> escolaridad</w:t>
      </w:r>
      <w:r>
        <w:rPr>
          <w:rFonts w:ascii="Arial" w:hAnsi="Arial" w:cs="Arial"/>
          <w:lang w:eastAsia="es-MX"/>
        </w:rPr>
        <w:t>,</w:t>
      </w:r>
      <w:r w:rsidRPr="004B4F31">
        <w:rPr>
          <w:rFonts w:ascii="Arial" w:hAnsi="Arial" w:cs="Arial"/>
          <w:lang w:eastAsia="es-MX"/>
        </w:rPr>
        <w:t xml:space="preserve"> </w:t>
      </w:r>
      <w:r>
        <w:rPr>
          <w:rFonts w:ascii="Arial" w:hAnsi="Arial" w:cs="Arial"/>
          <w:lang w:eastAsia="es-MX"/>
        </w:rPr>
        <w:t>anexando</w:t>
      </w:r>
      <w:r w:rsidRPr="004B4F31">
        <w:rPr>
          <w:rFonts w:ascii="Arial" w:hAnsi="Arial" w:cs="Arial"/>
          <w:lang w:eastAsia="es-MX"/>
        </w:rPr>
        <w:t xml:space="preserve"> título y cédula profesional comprobable.</w:t>
      </w:r>
    </w:p>
    <w:p w:rsidR="004B4F31" w:rsidRDefault="004B4F31" w:rsidP="00241B0F">
      <w:pPr>
        <w:rPr>
          <w:rFonts w:ascii="Arial" w:hAnsi="Arial" w:cs="Arial"/>
          <w:lang w:eastAsia="es-MX"/>
        </w:rPr>
      </w:pPr>
    </w:p>
    <w:p w:rsidR="00AA0D0D" w:rsidRDefault="00F26694" w:rsidP="00CC1FF8">
      <w:pPr>
        <w:rPr>
          <w:rFonts w:ascii="Arial" w:hAnsi="Arial" w:cs="Arial"/>
          <w:lang w:eastAsia="es-MX"/>
        </w:rPr>
      </w:pPr>
      <w:r>
        <w:rPr>
          <w:rFonts w:ascii="Arial" w:hAnsi="Arial" w:cs="Arial"/>
          <w:lang w:eastAsia="es-MX"/>
        </w:rPr>
        <w:t>E</w:t>
      </w:r>
      <w:r w:rsidR="00CC1FF8">
        <w:rPr>
          <w:rFonts w:ascii="Arial" w:hAnsi="Arial" w:cs="Arial"/>
          <w:lang w:eastAsia="es-MX"/>
        </w:rPr>
        <w:t xml:space="preserve">l Ayuntamiento anexó </w:t>
      </w:r>
      <w:r w:rsidR="008F45FF">
        <w:rPr>
          <w:rFonts w:ascii="Arial" w:hAnsi="Arial" w:cs="Arial"/>
          <w:lang w:eastAsia="es-MX"/>
        </w:rPr>
        <w:t>datos</w:t>
      </w:r>
      <w:r w:rsidR="00CC1FF8">
        <w:rPr>
          <w:rFonts w:ascii="Arial" w:hAnsi="Arial" w:cs="Arial"/>
          <w:lang w:eastAsia="es-MX"/>
        </w:rPr>
        <w:t xml:space="preserve"> de </w:t>
      </w:r>
      <w:r w:rsidR="00E0589C">
        <w:rPr>
          <w:rFonts w:ascii="Arial" w:hAnsi="Arial" w:cs="Arial"/>
          <w:lang w:eastAsia="es-MX"/>
        </w:rPr>
        <w:t>un hombre y una mujer</w:t>
      </w:r>
      <w:r w:rsidR="00CC1FF8">
        <w:rPr>
          <w:rFonts w:ascii="Arial" w:hAnsi="Arial" w:cs="Arial"/>
          <w:lang w:eastAsia="es-MX"/>
        </w:rPr>
        <w:t>. No obstante,</w:t>
      </w:r>
      <w:r w:rsidR="00AA0D0D">
        <w:rPr>
          <w:rFonts w:ascii="Arial" w:hAnsi="Arial" w:cs="Arial"/>
          <w:lang w:eastAsia="es-MX"/>
        </w:rPr>
        <w:t xml:space="preserve"> el solicitante se inconformó ante el IVAI </w:t>
      </w:r>
      <w:r w:rsidR="00A009B8">
        <w:rPr>
          <w:rFonts w:ascii="Arial" w:hAnsi="Arial" w:cs="Arial"/>
          <w:lang w:eastAsia="es-MX"/>
        </w:rPr>
        <w:t>señalando que lo entregado</w:t>
      </w:r>
      <w:r w:rsidR="00AA0D0D" w:rsidRPr="00AA0D0D">
        <w:rPr>
          <w:rFonts w:ascii="Arial" w:hAnsi="Arial" w:cs="Arial"/>
          <w:lang w:eastAsia="es-MX"/>
        </w:rPr>
        <w:t xml:space="preserve"> e</w:t>
      </w:r>
      <w:r w:rsidR="00AA0D0D">
        <w:rPr>
          <w:rFonts w:ascii="Arial" w:hAnsi="Arial" w:cs="Arial"/>
          <w:lang w:eastAsia="es-MX"/>
        </w:rPr>
        <w:t>ra</w:t>
      </w:r>
      <w:r w:rsidR="00AA0D0D" w:rsidRPr="00AA0D0D">
        <w:rPr>
          <w:rFonts w:ascii="Arial" w:hAnsi="Arial" w:cs="Arial"/>
          <w:lang w:eastAsia="es-MX"/>
        </w:rPr>
        <w:t xml:space="preserve"> incomplet</w:t>
      </w:r>
      <w:r w:rsidR="00A009B8">
        <w:rPr>
          <w:rFonts w:ascii="Arial" w:hAnsi="Arial" w:cs="Arial"/>
          <w:lang w:eastAsia="es-MX"/>
        </w:rPr>
        <w:t>o;</w:t>
      </w:r>
      <w:r w:rsidR="00AA0D0D" w:rsidRPr="00AA0D0D">
        <w:rPr>
          <w:rFonts w:ascii="Arial" w:hAnsi="Arial" w:cs="Arial"/>
          <w:lang w:eastAsia="es-MX"/>
        </w:rPr>
        <w:t xml:space="preserve"> </w:t>
      </w:r>
      <w:r w:rsidR="008A3F21">
        <w:rPr>
          <w:rFonts w:ascii="Arial" w:hAnsi="Arial" w:cs="Arial"/>
          <w:lang w:eastAsia="es-MX"/>
        </w:rPr>
        <w:t xml:space="preserve">y </w:t>
      </w:r>
      <w:r w:rsidR="00A009B8">
        <w:rPr>
          <w:rFonts w:ascii="Arial" w:hAnsi="Arial" w:cs="Arial"/>
          <w:lang w:eastAsia="es-MX"/>
        </w:rPr>
        <w:t xml:space="preserve">refirió </w:t>
      </w:r>
      <w:r w:rsidR="008A3F21">
        <w:rPr>
          <w:rFonts w:ascii="Arial" w:hAnsi="Arial" w:cs="Arial"/>
          <w:lang w:eastAsia="es-MX"/>
        </w:rPr>
        <w:t>i</w:t>
      </w:r>
      <w:r w:rsidR="00AA0D0D">
        <w:rPr>
          <w:rFonts w:ascii="Arial" w:hAnsi="Arial" w:cs="Arial"/>
          <w:lang w:eastAsia="es-MX"/>
        </w:rPr>
        <w:t>nconsistencias respecto al salario y nombre del t</w:t>
      </w:r>
      <w:r w:rsidR="00AA0D0D" w:rsidRPr="00AA0D0D">
        <w:rPr>
          <w:rFonts w:ascii="Arial" w:hAnsi="Arial" w:cs="Arial"/>
          <w:lang w:eastAsia="es-MX"/>
        </w:rPr>
        <w:t>itular de la Unidad de Transparencia</w:t>
      </w:r>
      <w:r w:rsidR="008A3F21">
        <w:rPr>
          <w:rFonts w:ascii="Arial" w:hAnsi="Arial" w:cs="Arial"/>
          <w:lang w:eastAsia="es-MX"/>
        </w:rPr>
        <w:t xml:space="preserve">, adjuntando diversa documentación. </w:t>
      </w:r>
    </w:p>
    <w:p w:rsidR="00AA0D0D" w:rsidRDefault="00AA0D0D" w:rsidP="00CC1FF8">
      <w:pPr>
        <w:rPr>
          <w:rFonts w:ascii="Arial" w:hAnsi="Arial" w:cs="Arial"/>
          <w:lang w:eastAsia="es-MX"/>
        </w:rPr>
      </w:pPr>
    </w:p>
    <w:p w:rsidR="008A3F21" w:rsidRDefault="008A3F21" w:rsidP="008A3F21">
      <w:pPr>
        <w:rPr>
          <w:rFonts w:ascii="Arial" w:hAnsi="Arial" w:cs="Arial"/>
          <w:lang w:eastAsia="es-MX"/>
        </w:rPr>
      </w:pPr>
      <w:r>
        <w:rPr>
          <w:rFonts w:ascii="Arial" w:hAnsi="Arial" w:cs="Arial"/>
          <w:lang w:eastAsia="es-MX"/>
        </w:rPr>
        <w:t xml:space="preserve">Tras el </w:t>
      </w:r>
      <w:r w:rsidR="00F56B3E">
        <w:rPr>
          <w:rFonts w:ascii="Arial" w:hAnsi="Arial" w:cs="Arial"/>
          <w:lang w:eastAsia="es-MX"/>
        </w:rPr>
        <w:t>estudio realizado por el órgano garante</w:t>
      </w:r>
      <w:r>
        <w:rPr>
          <w:rFonts w:ascii="Arial" w:hAnsi="Arial" w:cs="Arial"/>
          <w:lang w:eastAsia="es-MX"/>
        </w:rPr>
        <w:t>,</w:t>
      </w:r>
      <w:r w:rsidR="00F56B3E">
        <w:rPr>
          <w:rFonts w:ascii="Arial" w:hAnsi="Arial" w:cs="Arial"/>
          <w:lang w:eastAsia="es-MX"/>
        </w:rPr>
        <w:t xml:space="preserve"> </w:t>
      </w:r>
      <w:r>
        <w:rPr>
          <w:rFonts w:ascii="Arial" w:hAnsi="Arial" w:cs="Arial"/>
          <w:lang w:eastAsia="es-MX"/>
        </w:rPr>
        <w:t xml:space="preserve">no se encontró discrepancia </w:t>
      </w:r>
      <w:r w:rsidR="00B14E9E">
        <w:rPr>
          <w:rFonts w:ascii="Arial" w:hAnsi="Arial" w:cs="Arial"/>
          <w:lang w:eastAsia="es-MX"/>
        </w:rPr>
        <w:t>con los documentos aportados</w:t>
      </w:r>
      <w:r>
        <w:rPr>
          <w:rFonts w:ascii="Arial" w:hAnsi="Arial" w:cs="Arial"/>
          <w:lang w:eastAsia="es-MX"/>
        </w:rPr>
        <w:t>. No obstante, el IVAI no dio por satisfecho el derecho de acceso</w:t>
      </w:r>
      <w:r w:rsidR="00B14E9E">
        <w:rPr>
          <w:rFonts w:ascii="Arial" w:hAnsi="Arial" w:cs="Arial"/>
          <w:lang w:eastAsia="es-MX"/>
        </w:rPr>
        <w:t>,</w:t>
      </w:r>
      <w:r>
        <w:rPr>
          <w:rFonts w:ascii="Arial" w:hAnsi="Arial" w:cs="Arial"/>
          <w:lang w:eastAsia="es-MX"/>
        </w:rPr>
        <w:t xml:space="preserve"> dado que </w:t>
      </w:r>
      <w:r w:rsidR="00F26694">
        <w:rPr>
          <w:rFonts w:ascii="Arial" w:hAnsi="Arial" w:cs="Arial"/>
          <w:lang w:eastAsia="es-MX"/>
        </w:rPr>
        <w:t xml:space="preserve">lo </w:t>
      </w:r>
      <w:r>
        <w:rPr>
          <w:rFonts w:ascii="Arial" w:hAnsi="Arial" w:cs="Arial"/>
          <w:lang w:eastAsia="es-MX"/>
        </w:rPr>
        <w:t>proporcio</w:t>
      </w:r>
      <w:r w:rsidR="00F26694">
        <w:rPr>
          <w:rFonts w:ascii="Arial" w:hAnsi="Arial" w:cs="Arial"/>
          <w:lang w:eastAsia="es-MX"/>
        </w:rPr>
        <w:t xml:space="preserve">nado no lo dio </w:t>
      </w:r>
      <w:r>
        <w:rPr>
          <w:rFonts w:ascii="Arial" w:hAnsi="Arial" w:cs="Arial"/>
          <w:lang w:eastAsia="es-MX"/>
        </w:rPr>
        <w:t>el área competente –la Dirección de Recursos Humanos– sino que se dio contestación directa a tra</w:t>
      </w:r>
      <w:r w:rsidRPr="00B14E9E">
        <w:rPr>
          <w:rFonts w:ascii="Arial" w:hAnsi="Arial" w:cs="Arial"/>
          <w:lang w:eastAsia="es-MX"/>
        </w:rPr>
        <w:t xml:space="preserve">vés de un oficio firmado por el entonces titular de la Unidad de Transparencia, </w:t>
      </w:r>
      <w:r w:rsidRPr="007933F4">
        <w:rPr>
          <w:rFonts w:ascii="Arial" w:hAnsi="Arial" w:cs="Arial"/>
          <w:lang w:eastAsia="es-MX"/>
        </w:rPr>
        <w:t xml:space="preserve">cuando esta </w:t>
      </w:r>
      <w:r>
        <w:rPr>
          <w:rFonts w:ascii="Arial" w:hAnsi="Arial" w:cs="Arial"/>
          <w:lang w:eastAsia="es-MX"/>
        </w:rPr>
        <w:t xml:space="preserve">área solo tiene atribución de recibir y </w:t>
      </w:r>
      <w:r w:rsidR="00232629">
        <w:rPr>
          <w:rFonts w:ascii="Arial" w:hAnsi="Arial" w:cs="Arial"/>
          <w:lang w:eastAsia="es-MX"/>
        </w:rPr>
        <w:t>dar trámite.</w:t>
      </w:r>
      <w:r>
        <w:rPr>
          <w:rFonts w:ascii="Arial" w:hAnsi="Arial" w:cs="Arial"/>
          <w:lang w:eastAsia="es-MX"/>
        </w:rPr>
        <w:t xml:space="preserve"> </w:t>
      </w:r>
    </w:p>
    <w:p w:rsidR="008A3F21" w:rsidRDefault="008A3F21" w:rsidP="008A3F21">
      <w:pPr>
        <w:rPr>
          <w:rFonts w:ascii="Arial" w:hAnsi="Arial" w:cs="Arial"/>
          <w:lang w:eastAsia="es-MX"/>
        </w:rPr>
      </w:pPr>
    </w:p>
    <w:p w:rsidR="00E67AA9" w:rsidRDefault="00AE266E" w:rsidP="00E0589C">
      <w:pPr>
        <w:rPr>
          <w:rFonts w:ascii="Arial" w:hAnsi="Arial" w:cs="Arial"/>
          <w:lang w:eastAsia="es-MX"/>
        </w:rPr>
      </w:pPr>
      <w:r>
        <w:rPr>
          <w:rFonts w:ascii="Arial" w:hAnsi="Arial" w:cs="Arial"/>
          <w:lang w:eastAsia="es-MX"/>
        </w:rPr>
        <w:t xml:space="preserve">Debido a que </w:t>
      </w:r>
      <w:r w:rsidR="00D60E7D">
        <w:rPr>
          <w:rFonts w:ascii="Arial" w:hAnsi="Arial" w:cs="Arial"/>
          <w:lang w:eastAsia="es-MX"/>
        </w:rPr>
        <w:t>el tema</w:t>
      </w:r>
      <w:r>
        <w:rPr>
          <w:rFonts w:ascii="Arial" w:hAnsi="Arial" w:cs="Arial"/>
          <w:lang w:eastAsia="es-MX"/>
        </w:rPr>
        <w:t xml:space="preserve"> corresponde a una </w:t>
      </w:r>
      <w:r w:rsidR="008A3F21" w:rsidRPr="008A3F21">
        <w:rPr>
          <w:rFonts w:ascii="Arial" w:hAnsi="Arial" w:cs="Arial"/>
          <w:lang w:eastAsia="es-MX"/>
        </w:rPr>
        <w:t xml:space="preserve">obligación de transparencia, </w:t>
      </w:r>
      <w:r>
        <w:rPr>
          <w:rFonts w:ascii="Arial" w:hAnsi="Arial" w:cs="Arial"/>
          <w:lang w:eastAsia="es-MX"/>
        </w:rPr>
        <w:t xml:space="preserve">el Instituto realizó </w:t>
      </w:r>
      <w:r w:rsidR="008A3F21" w:rsidRPr="008A3F21">
        <w:rPr>
          <w:rFonts w:ascii="Arial" w:hAnsi="Arial" w:cs="Arial"/>
          <w:lang w:eastAsia="es-MX"/>
        </w:rPr>
        <w:t>diligencia de inspección al portal del sujeto obligado y a</w:t>
      </w:r>
      <w:r>
        <w:rPr>
          <w:rFonts w:ascii="Arial" w:hAnsi="Arial" w:cs="Arial"/>
          <w:lang w:eastAsia="es-MX"/>
        </w:rPr>
        <w:t xml:space="preserve"> </w:t>
      </w:r>
      <w:r w:rsidR="00035F85">
        <w:rPr>
          <w:rFonts w:ascii="Arial" w:hAnsi="Arial" w:cs="Arial"/>
          <w:lang w:eastAsia="es-MX"/>
        </w:rPr>
        <w:t xml:space="preserve">la Plataforma Nacional, </w:t>
      </w:r>
      <w:r w:rsidR="00E0589C">
        <w:rPr>
          <w:rFonts w:ascii="Arial" w:hAnsi="Arial" w:cs="Arial"/>
          <w:lang w:eastAsia="es-MX"/>
        </w:rPr>
        <w:t xml:space="preserve">encontrando </w:t>
      </w:r>
      <w:r w:rsidR="00271466">
        <w:rPr>
          <w:rFonts w:ascii="Arial" w:hAnsi="Arial" w:cs="Arial"/>
          <w:lang w:eastAsia="es-MX"/>
        </w:rPr>
        <w:t xml:space="preserve">diversas incongruencias: </w:t>
      </w:r>
      <w:r w:rsidR="00E0589C">
        <w:rPr>
          <w:rFonts w:ascii="Arial" w:hAnsi="Arial" w:cs="Arial"/>
          <w:lang w:eastAsia="es-MX"/>
        </w:rPr>
        <w:t xml:space="preserve">que en la </w:t>
      </w:r>
      <w:r w:rsidR="00E0589C" w:rsidRPr="00E0589C">
        <w:rPr>
          <w:rFonts w:ascii="Arial" w:hAnsi="Arial" w:cs="Arial"/>
          <w:lang w:eastAsia="es-MX"/>
        </w:rPr>
        <w:t xml:space="preserve">Unidad se </w:t>
      </w:r>
      <w:r w:rsidR="00E0589C">
        <w:rPr>
          <w:rFonts w:ascii="Arial" w:hAnsi="Arial" w:cs="Arial"/>
          <w:lang w:eastAsia="es-MX"/>
        </w:rPr>
        <w:t xml:space="preserve">reflejan como integrantes </w:t>
      </w:r>
      <w:r w:rsidR="00E0589C" w:rsidRPr="00E0589C">
        <w:rPr>
          <w:rFonts w:ascii="Arial" w:hAnsi="Arial" w:cs="Arial"/>
          <w:lang w:eastAsia="es-MX"/>
        </w:rPr>
        <w:t xml:space="preserve">dos </w:t>
      </w:r>
      <w:r w:rsidR="00271466">
        <w:rPr>
          <w:rFonts w:ascii="Arial" w:hAnsi="Arial" w:cs="Arial"/>
          <w:lang w:eastAsia="es-MX"/>
        </w:rPr>
        <w:t xml:space="preserve">mujeres, y no un hombre y una mujer como se </w:t>
      </w:r>
      <w:r w:rsidR="00F26694">
        <w:rPr>
          <w:rFonts w:ascii="Arial" w:hAnsi="Arial" w:cs="Arial"/>
          <w:lang w:eastAsia="es-MX"/>
        </w:rPr>
        <w:t>dijo</w:t>
      </w:r>
      <w:r w:rsidR="00271466">
        <w:rPr>
          <w:rFonts w:ascii="Arial" w:hAnsi="Arial" w:cs="Arial"/>
          <w:lang w:eastAsia="es-MX"/>
        </w:rPr>
        <w:t xml:space="preserve">; que </w:t>
      </w:r>
      <w:r w:rsidR="00E0589C">
        <w:rPr>
          <w:rFonts w:ascii="Arial" w:hAnsi="Arial" w:cs="Arial"/>
          <w:lang w:eastAsia="es-MX"/>
        </w:rPr>
        <w:t xml:space="preserve">si bien de una </w:t>
      </w:r>
      <w:r w:rsidR="00271466">
        <w:rPr>
          <w:rFonts w:ascii="Arial" w:hAnsi="Arial" w:cs="Arial"/>
          <w:lang w:eastAsia="es-MX"/>
        </w:rPr>
        <w:t xml:space="preserve">de ellas </w:t>
      </w:r>
      <w:r w:rsidR="00E0589C">
        <w:rPr>
          <w:rFonts w:ascii="Arial" w:hAnsi="Arial" w:cs="Arial"/>
          <w:lang w:eastAsia="es-MX"/>
        </w:rPr>
        <w:t>sí coincidía el nombre, el cargo era distintito y la remuneración era mayor</w:t>
      </w:r>
      <w:r w:rsidR="00E67AA9">
        <w:rPr>
          <w:rFonts w:ascii="Arial" w:hAnsi="Arial" w:cs="Arial"/>
          <w:lang w:eastAsia="es-MX"/>
        </w:rPr>
        <w:t xml:space="preserve">; </w:t>
      </w:r>
      <w:r w:rsidR="00035F85">
        <w:rPr>
          <w:rFonts w:ascii="Arial" w:hAnsi="Arial" w:cs="Arial"/>
          <w:lang w:eastAsia="es-MX"/>
        </w:rPr>
        <w:t xml:space="preserve">mientras </w:t>
      </w:r>
      <w:r w:rsidR="00E67AA9">
        <w:rPr>
          <w:rFonts w:ascii="Arial" w:hAnsi="Arial" w:cs="Arial"/>
          <w:lang w:eastAsia="es-MX"/>
        </w:rPr>
        <w:t xml:space="preserve">que </w:t>
      </w:r>
      <w:r w:rsidR="00035F85">
        <w:rPr>
          <w:rFonts w:ascii="Arial" w:hAnsi="Arial" w:cs="Arial"/>
          <w:lang w:eastAsia="es-MX"/>
        </w:rPr>
        <w:t xml:space="preserve">de la otra servidora pública </w:t>
      </w:r>
      <w:r w:rsidR="00035F85" w:rsidRPr="00035F85">
        <w:rPr>
          <w:rFonts w:ascii="Arial" w:hAnsi="Arial" w:cs="Arial"/>
          <w:lang w:eastAsia="es-MX"/>
        </w:rPr>
        <w:t xml:space="preserve">no se </w:t>
      </w:r>
      <w:r w:rsidR="00035F85">
        <w:rPr>
          <w:rFonts w:ascii="Arial" w:hAnsi="Arial" w:cs="Arial"/>
          <w:lang w:eastAsia="es-MX"/>
        </w:rPr>
        <w:t>mencion</w:t>
      </w:r>
      <w:r w:rsidR="008F3EE9">
        <w:rPr>
          <w:rFonts w:ascii="Arial" w:hAnsi="Arial" w:cs="Arial"/>
          <w:lang w:eastAsia="es-MX"/>
        </w:rPr>
        <w:t xml:space="preserve">ó nada en un inicio; y </w:t>
      </w:r>
      <w:r w:rsidR="00E67AA9">
        <w:rPr>
          <w:rFonts w:ascii="Arial" w:hAnsi="Arial" w:cs="Arial"/>
          <w:lang w:eastAsia="es-MX"/>
        </w:rPr>
        <w:t xml:space="preserve">quien al </w:t>
      </w:r>
      <w:r w:rsidR="00F26694">
        <w:rPr>
          <w:rFonts w:ascii="Arial" w:hAnsi="Arial" w:cs="Arial"/>
          <w:lang w:eastAsia="es-MX"/>
        </w:rPr>
        <w:t>dar respuesta</w:t>
      </w:r>
      <w:r w:rsidR="00E67AA9">
        <w:rPr>
          <w:rFonts w:ascii="Arial" w:hAnsi="Arial" w:cs="Arial"/>
          <w:lang w:eastAsia="es-MX"/>
        </w:rPr>
        <w:t xml:space="preserve"> se ostentó como titular de la Unidad, </w:t>
      </w:r>
      <w:r w:rsidR="00035F85">
        <w:rPr>
          <w:rFonts w:ascii="Arial" w:hAnsi="Arial" w:cs="Arial"/>
          <w:lang w:eastAsia="es-MX"/>
        </w:rPr>
        <w:t xml:space="preserve">en dichos portales electrónicos </w:t>
      </w:r>
      <w:r w:rsidR="00E67AA9">
        <w:rPr>
          <w:rFonts w:ascii="Arial" w:hAnsi="Arial" w:cs="Arial"/>
          <w:lang w:eastAsia="es-MX"/>
        </w:rPr>
        <w:t xml:space="preserve">aparecía </w:t>
      </w:r>
      <w:r w:rsidR="00E67AA9" w:rsidRPr="00E0589C">
        <w:rPr>
          <w:rFonts w:ascii="Arial" w:hAnsi="Arial" w:cs="Arial"/>
          <w:lang w:eastAsia="es-MX"/>
        </w:rPr>
        <w:t xml:space="preserve">con cargo de auxiliar, </w:t>
      </w:r>
      <w:r w:rsidR="00E67AA9">
        <w:rPr>
          <w:rFonts w:ascii="Arial" w:hAnsi="Arial" w:cs="Arial"/>
          <w:lang w:eastAsia="es-MX"/>
        </w:rPr>
        <w:t xml:space="preserve">adscrito a </w:t>
      </w:r>
      <w:r w:rsidR="00E67AA9" w:rsidRPr="00E0589C">
        <w:rPr>
          <w:rFonts w:ascii="Arial" w:hAnsi="Arial" w:cs="Arial"/>
          <w:lang w:eastAsia="es-MX"/>
        </w:rPr>
        <w:t>la Secretaría</w:t>
      </w:r>
      <w:r w:rsidR="00E67AA9">
        <w:rPr>
          <w:rFonts w:ascii="Arial" w:hAnsi="Arial" w:cs="Arial"/>
          <w:lang w:eastAsia="es-MX"/>
        </w:rPr>
        <w:t>.</w:t>
      </w:r>
    </w:p>
    <w:p w:rsidR="008F3EE9" w:rsidRDefault="008F3EE9" w:rsidP="008F3EE9">
      <w:pPr>
        <w:rPr>
          <w:rFonts w:ascii="Arial" w:hAnsi="Arial" w:cs="Arial"/>
          <w:lang w:eastAsia="es-MX"/>
        </w:rPr>
      </w:pPr>
      <w:r>
        <w:rPr>
          <w:rFonts w:ascii="Arial" w:hAnsi="Arial" w:cs="Arial"/>
          <w:lang w:eastAsia="es-MX"/>
        </w:rPr>
        <w:lastRenderedPageBreak/>
        <w:t xml:space="preserve">Si bien el IVAI </w:t>
      </w:r>
      <w:r w:rsidRPr="000D43A3">
        <w:rPr>
          <w:rFonts w:ascii="Arial" w:hAnsi="Arial" w:cs="Arial"/>
          <w:lang w:eastAsia="es-MX"/>
        </w:rPr>
        <w:t xml:space="preserve">se encuentra impedido para analizar la veracidad de la información </w:t>
      </w:r>
      <w:r w:rsidR="00B14E9E">
        <w:rPr>
          <w:rFonts w:ascii="Arial" w:hAnsi="Arial" w:cs="Arial"/>
          <w:lang w:eastAsia="es-MX"/>
        </w:rPr>
        <w:t>que dan</w:t>
      </w:r>
      <w:r w:rsidRPr="000D43A3">
        <w:rPr>
          <w:rFonts w:ascii="Arial" w:hAnsi="Arial" w:cs="Arial"/>
          <w:lang w:eastAsia="es-MX"/>
        </w:rPr>
        <w:t xml:space="preserve"> los sujetos obligados</w:t>
      </w:r>
      <w:r>
        <w:rPr>
          <w:rFonts w:ascii="Arial" w:hAnsi="Arial" w:cs="Arial"/>
          <w:lang w:eastAsia="es-MX"/>
        </w:rPr>
        <w:t xml:space="preserve"> –</w:t>
      </w:r>
      <w:r w:rsidRPr="000D43A3">
        <w:rPr>
          <w:rFonts w:ascii="Arial" w:hAnsi="Arial" w:cs="Arial"/>
          <w:lang w:eastAsia="es-MX"/>
        </w:rPr>
        <w:t>ya que lo que tutela es la entrega de</w:t>
      </w:r>
      <w:r w:rsidR="008F45FF">
        <w:rPr>
          <w:rFonts w:ascii="Arial" w:hAnsi="Arial" w:cs="Arial"/>
          <w:lang w:eastAsia="es-MX"/>
        </w:rPr>
        <w:t xml:space="preserve"> lo pedido</w:t>
      </w:r>
      <w:r>
        <w:rPr>
          <w:rFonts w:ascii="Arial" w:hAnsi="Arial" w:cs="Arial"/>
          <w:lang w:eastAsia="es-MX"/>
        </w:rPr>
        <w:t>–</w:t>
      </w:r>
      <w:r w:rsidRPr="000D43A3">
        <w:rPr>
          <w:rFonts w:ascii="Arial" w:hAnsi="Arial" w:cs="Arial"/>
          <w:lang w:eastAsia="es-MX"/>
        </w:rPr>
        <w:t>,</w:t>
      </w:r>
      <w:r>
        <w:rPr>
          <w:rFonts w:ascii="Arial" w:hAnsi="Arial" w:cs="Arial"/>
          <w:lang w:eastAsia="es-MX"/>
        </w:rPr>
        <w:t xml:space="preserve"> </w:t>
      </w:r>
      <w:r w:rsidRPr="005016FF">
        <w:rPr>
          <w:rFonts w:ascii="Arial" w:hAnsi="Arial" w:cs="Arial"/>
          <w:lang w:eastAsia="es-MX"/>
        </w:rPr>
        <w:t xml:space="preserve">sí puede analizar la congruencia y exhaustividad con la que </w:t>
      </w:r>
      <w:r>
        <w:rPr>
          <w:rFonts w:ascii="Arial" w:hAnsi="Arial" w:cs="Arial"/>
          <w:lang w:eastAsia="es-MX"/>
        </w:rPr>
        <w:t xml:space="preserve">estos </w:t>
      </w:r>
      <w:r w:rsidRPr="005016FF">
        <w:rPr>
          <w:rFonts w:ascii="Arial" w:hAnsi="Arial" w:cs="Arial"/>
          <w:lang w:eastAsia="es-MX"/>
        </w:rPr>
        <w:t xml:space="preserve">deben conducirse y que debe reflejarse en las </w:t>
      </w:r>
      <w:r w:rsidR="00F26694">
        <w:rPr>
          <w:rFonts w:ascii="Arial" w:hAnsi="Arial" w:cs="Arial"/>
          <w:lang w:eastAsia="es-MX"/>
        </w:rPr>
        <w:t>contestaciones</w:t>
      </w:r>
      <w:r w:rsidRPr="005016FF">
        <w:rPr>
          <w:rFonts w:ascii="Arial" w:hAnsi="Arial" w:cs="Arial"/>
          <w:lang w:eastAsia="es-MX"/>
        </w:rPr>
        <w:t xml:space="preserve"> que otorgan</w:t>
      </w:r>
      <w:r>
        <w:rPr>
          <w:rFonts w:ascii="Arial" w:hAnsi="Arial" w:cs="Arial"/>
          <w:lang w:eastAsia="es-MX"/>
        </w:rPr>
        <w:t xml:space="preserve">. Lo anterior, conforme </w:t>
      </w:r>
      <w:r w:rsidRPr="005016FF">
        <w:rPr>
          <w:rFonts w:ascii="Arial" w:hAnsi="Arial" w:cs="Arial"/>
          <w:lang w:eastAsia="es-MX"/>
        </w:rPr>
        <w:t>al criterio 02/17 del Instituto Nacional de Transparencia, Acceso a la Información y</w:t>
      </w:r>
      <w:r w:rsidR="00B14E9E">
        <w:rPr>
          <w:rFonts w:ascii="Arial" w:hAnsi="Arial" w:cs="Arial"/>
          <w:lang w:eastAsia="es-MX"/>
        </w:rPr>
        <w:t xml:space="preserve"> Protección de Datos Personales</w:t>
      </w:r>
      <w:r>
        <w:rPr>
          <w:rFonts w:ascii="Arial" w:hAnsi="Arial" w:cs="Arial"/>
          <w:lang w:eastAsia="es-MX"/>
        </w:rPr>
        <w:t xml:space="preserve">, en el que </w:t>
      </w:r>
      <w:r w:rsidR="00B14E9E">
        <w:rPr>
          <w:rFonts w:ascii="Arial" w:hAnsi="Arial" w:cs="Arial"/>
          <w:lang w:eastAsia="es-MX"/>
        </w:rPr>
        <w:t>–</w:t>
      </w:r>
      <w:r>
        <w:rPr>
          <w:rFonts w:ascii="Arial" w:hAnsi="Arial" w:cs="Arial"/>
          <w:lang w:eastAsia="es-MX"/>
        </w:rPr>
        <w:t>entre otras cosas</w:t>
      </w:r>
      <w:r w:rsidR="00B14E9E">
        <w:rPr>
          <w:rFonts w:ascii="Arial" w:hAnsi="Arial" w:cs="Arial"/>
          <w:lang w:eastAsia="es-MX"/>
        </w:rPr>
        <w:t>–</w:t>
      </w:r>
      <w:r>
        <w:rPr>
          <w:rFonts w:ascii="Arial" w:hAnsi="Arial" w:cs="Arial"/>
          <w:lang w:eastAsia="es-MX"/>
        </w:rPr>
        <w:t xml:space="preserve"> se señala lo indispensable de estos dos principios para garantizar el derecho a saber. </w:t>
      </w:r>
    </w:p>
    <w:p w:rsidR="00F61CCC" w:rsidRDefault="00F61CCC" w:rsidP="00E0589C">
      <w:pPr>
        <w:rPr>
          <w:rFonts w:ascii="Arial" w:hAnsi="Arial" w:cs="Arial"/>
          <w:lang w:eastAsia="es-MX"/>
        </w:rPr>
      </w:pPr>
    </w:p>
    <w:p w:rsidR="001875D8" w:rsidRDefault="006B7B75" w:rsidP="001875D8">
      <w:pPr>
        <w:rPr>
          <w:rFonts w:ascii="Arial" w:hAnsi="Arial" w:cs="Arial"/>
          <w:lang w:eastAsia="es-MX"/>
        </w:rPr>
      </w:pPr>
      <w:r w:rsidRPr="006B7B75">
        <w:rPr>
          <w:rFonts w:ascii="Arial" w:hAnsi="Arial" w:cs="Arial"/>
          <w:lang w:eastAsia="es-MX"/>
        </w:rPr>
        <w:t xml:space="preserve">Por </w:t>
      </w:r>
      <w:r>
        <w:rPr>
          <w:rFonts w:ascii="Arial" w:hAnsi="Arial" w:cs="Arial"/>
          <w:lang w:eastAsia="es-MX"/>
        </w:rPr>
        <w:t xml:space="preserve">tanto, </w:t>
      </w:r>
      <w:r w:rsidRPr="006B7B75">
        <w:rPr>
          <w:rFonts w:ascii="Arial" w:hAnsi="Arial" w:cs="Arial"/>
          <w:lang w:eastAsia="es-MX"/>
        </w:rPr>
        <w:t>toda vez que no existe certidumbre en los datos</w:t>
      </w:r>
      <w:r w:rsidR="00B14E9E">
        <w:rPr>
          <w:rFonts w:ascii="Arial" w:hAnsi="Arial" w:cs="Arial"/>
          <w:lang w:eastAsia="es-MX"/>
        </w:rPr>
        <w:t>, se vulneró</w:t>
      </w:r>
      <w:r w:rsidR="00B14E9E" w:rsidRPr="006B7B75">
        <w:rPr>
          <w:rFonts w:ascii="Arial" w:hAnsi="Arial" w:cs="Arial"/>
          <w:lang w:eastAsia="es-MX"/>
        </w:rPr>
        <w:t xml:space="preserve"> el derecho de acceso</w:t>
      </w:r>
      <w:r w:rsidRPr="006B7B75">
        <w:rPr>
          <w:rFonts w:ascii="Arial" w:hAnsi="Arial" w:cs="Arial"/>
          <w:lang w:eastAsia="es-MX"/>
        </w:rPr>
        <w:t>.</w:t>
      </w:r>
      <w:r w:rsidR="001875D8">
        <w:rPr>
          <w:rFonts w:ascii="Arial" w:hAnsi="Arial" w:cs="Arial"/>
          <w:lang w:eastAsia="es-MX"/>
        </w:rPr>
        <w:t xml:space="preserve"> </w:t>
      </w:r>
      <w:r w:rsidR="00B14E9E">
        <w:rPr>
          <w:rFonts w:ascii="Arial" w:hAnsi="Arial" w:cs="Arial"/>
          <w:lang w:eastAsia="es-MX"/>
        </w:rPr>
        <w:t>Es por ello que</w:t>
      </w:r>
      <w:r w:rsidR="001875D8">
        <w:rPr>
          <w:rFonts w:ascii="Arial" w:hAnsi="Arial" w:cs="Arial"/>
          <w:lang w:eastAsia="es-MX"/>
        </w:rPr>
        <w:t xml:space="preserve"> </w:t>
      </w:r>
      <w:r w:rsidR="001875D8" w:rsidRPr="001875D8">
        <w:rPr>
          <w:rFonts w:ascii="Arial" w:hAnsi="Arial" w:cs="Arial"/>
          <w:lang w:eastAsia="es-MX"/>
        </w:rPr>
        <w:t>la Dirección de Recursos Humanos</w:t>
      </w:r>
      <w:r w:rsidR="001875D8">
        <w:rPr>
          <w:rFonts w:ascii="Arial" w:hAnsi="Arial" w:cs="Arial"/>
          <w:lang w:eastAsia="es-MX"/>
        </w:rPr>
        <w:t xml:space="preserve"> deberá emitir </w:t>
      </w:r>
      <w:r w:rsidR="001875D8" w:rsidRPr="001875D8">
        <w:rPr>
          <w:rFonts w:ascii="Arial" w:hAnsi="Arial" w:cs="Arial"/>
          <w:lang w:eastAsia="es-MX"/>
        </w:rPr>
        <w:t xml:space="preserve">respuesta en la que se especifique el total de empleados de la Unidad de Transparencia, señalando </w:t>
      </w:r>
      <w:r w:rsidR="001875D8">
        <w:rPr>
          <w:rFonts w:ascii="Arial" w:hAnsi="Arial" w:cs="Arial"/>
          <w:lang w:eastAsia="es-MX"/>
        </w:rPr>
        <w:t xml:space="preserve">los datos de la nueva servidora que fue identificada tras la diligencia, </w:t>
      </w:r>
      <w:r w:rsidR="001875D8" w:rsidRPr="001875D8">
        <w:rPr>
          <w:rFonts w:ascii="Arial" w:hAnsi="Arial" w:cs="Arial"/>
          <w:lang w:eastAsia="es-MX"/>
        </w:rPr>
        <w:t xml:space="preserve">en caso de que sí </w:t>
      </w:r>
      <w:r w:rsidR="001875D8">
        <w:rPr>
          <w:rFonts w:ascii="Arial" w:hAnsi="Arial" w:cs="Arial"/>
          <w:lang w:eastAsia="es-MX"/>
        </w:rPr>
        <w:t xml:space="preserve">pertenezca </w:t>
      </w:r>
      <w:r w:rsidR="001875D8" w:rsidRPr="001875D8">
        <w:rPr>
          <w:rFonts w:ascii="Arial" w:hAnsi="Arial" w:cs="Arial"/>
          <w:lang w:eastAsia="es-MX"/>
        </w:rPr>
        <w:t>a dicha área</w:t>
      </w:r>
      <w:r w:rsidR="00B14E9E">
        <w:rPr>
          <w:rFonts w:ascii="Arial" w:hAnsi="Arial" w:cs="Arial"/>
          <w:lang w:eastAsia="es-MX"/>
        </w:rPr>
        <w:t>;</w:t>
      </w:r>
      <w:r w:rsidR="001875D8">
        <w:rPr>
          <w:rFonts w:ascii="Arial" w:hAnsi="Arial" w:cs="Arial"/>
          <w:lang w:eastAsia="es-MX"/>
        </w:rPr>
        <w:t xml:space="preserve"> de no ser así, se </w:t>
      </w:r>
      <w:r w:rsidR="001875D8" w:rsidRPr="001875D8">
        <w:rPr>
          <w:rFonts w:ascii="Arial" w:hAnsi="Arial" w:cs="Arial"/>
          <w:lang w:eastAsia="es-MX"/>
        </w:rPr>
        <w:t xml:space="preserve">deberá modificar </w:t>
      </w:r>
      <w:r w:rsidR="006979FA">
        <w:rPr>
          <w:rFonts w:ascii="Arial" w:hAnsi="Arial" w:cs="Arial"/>
          <w:lang w:eastAsia="es-MX"/>
        </w:rPr>
        <w:t xml:space="preserve">lo publicado en </w:t>
      </w:r>
      <w:r w:rsidR="001875D8" w:rsidRPr="001875D8">
        <w:rPr>
          <w:rFonts w:ascii="Arial" w:hAnsi="Arial" w:cs="Arial"/>
          <w:lang w:eastAsia="es-MX"/>
        </w:rPr>
        <w:t xml:space="preserve">el portal del sujeto obligado </w:t>
      </w:r>
      <w:r w:rsidR="001875D8">
        <w:rPr>
          <w:rFonts w:ascii="Arial" w:hAnsi="Arial" w:cs="Arial"/>
          <w:lang w:eastAsia="es-MX"/>
        </w:rPr>
        <w:t xml:space="preserve">y </w:t>
      </w:r>
      <w:r w:rsidR="004E1B57">
        <w:rPr>
          <w:rFonts w:ascii="Arial" w:hAnsi="Arial" w:cs="Arial"/>
          <w:lang w:eastAsia="es-MX"/>
        </w:rPr>
        <w:t xml:space="preserve">en </w:t>
      </w:r>
      <w:r w:rsidR="001875D8">
        <w:rPr>
          <w:rFonts w:ascii="Arial" w:hAnsi="Arial" w:cs="Arial"/>
          <w:lang w:eastAsia="es-MX"/>
        </w:rPr>
        <w:t xml:space="preserve">la Plataforma Nacional </w:t>
      </w:r>
      <w:r w:rsidR="001875D8" w:rsidRPr="001875D8">
        <w:rPr>
          <w:rFonts w:ascii="Arial" w:hAnsi="Arial" w:cs="Arial"/>
          <w:lang w:eastAsia="es-MX"/>
        </w:rPr>
        <w:t>de Transparencia.</w:t>
      </w:r>
    </w:p>
    <w:p w:rsidR="001875D8" w:rsidRDefault="001875D8" w:rsidP="00CC1FF8">
      <w:pPr>
        <w:rPr>
          <w:rFonts w:ascii="Arial" w:hAnsi="Arial" w:cs="Arial"/>
          <w:lang w:eastAsia="es-MX"/>
        </w:rPr>
      </w:pPr>
    </w:p>
    <w:p w:rsidR="001875D8" w:rsidRDefault="00BB6F57" w:rsidP="001875D8">
      <w:pPr>
        <w:rPr>
          <w:rFonts w:ascii="Arial" w:hAnsi="Arial" w:cs="Arial"/>
          <w:lang w:eastAsia="es-MX"/>
        </w:rPr>
      </w:pPr>
      <w:r>
        <w:rPr>
          <w:rFonts w:ascii="Arial" w:hAnsi="Arial" w:cs="Arial"/>
          <w:lang w:eastAsia="es-MX"/>
        </w:rPr>
        <w:t xml:space="preserve">Cabe señalar que </w:t>
      </w:r>
      <w:r w:rsidR="001875D8" w:rsidRPr="00F61CCC">
        <w:rPr>
          <w:rFonts w:ascii="Arial" w:hAnsi="Arial" w:cs="Arial"/>
          <w:lang w:eastAsia="es-MX"/>
        </w:rPr>
        <w:t>en los archivos de la Dirección de Capacitación y Vinculación Ciudadana de</w:t>
      </w:r>
      <w:r>
        <w:rPr>
          <w:rFonts w:ascii="Arial" w:hAnsi="Arial" w:cs="Arial"/>
          <w:lang w:eastAsia="es-MX"/>
        </w:rPr>
        <w:t>l IVAI</w:t>
      </w:r>
      <w:r w:rsidR="001875D8" w:rsidRPr="00F61CCC">
        <w:rPr>
          <w:rFonts w:ascii="Arial" w:hAnsi="Arial" w:cs="Arial"/>
          <w:lang w:eastAsia="es-MX"/>
        </w:rPr>
        <w:t xml:space="preserve"> se tiene registrado que </w:t>
      </w:r>
      <w:r>
        <w:rPr>
          <w:rFonts w:ascii="Arial" w:hAnsi="Arial" w:cs="Arial"/>
          <w:lang w:eastAsia="es-MX"/>
        </w:rPr>
        <w:t xml:space="preserve">existió un cambio en la titularidad de la Unidad de Transparencia, </w:t>
      </w:r>
      <w:r w:rsidR="00B14E9E">
        <w:rPr>
          <w:rFonts w:ascii="Arial" w:hAnsi="Arial" w:cs="Arial"/>
          <w:lang w:eastAsia="es-MX"/>
        </w:rPr>
        <w:t xml:space="preserve">pero en </w:t>
      </w:r>
      <w:r w:rsidR="001875D8" w:rsidRPr="00F61CCC">
        <w:rPr>
          <w:rFonts w:ascii="Arial" w:hAnsi="Arial" w:cs="Arial"/>
          <w:lang w:eastAsia="es-MX"/>
        </w:rPr>
        <w:t xml:space="preserve">la fecha </w:t>
      </w:r>
      <w:r w:rsidR="00B14E9E">
        <w:rPr>
          <w:rFonts w:ascii="Arial" w:hAnsi="Arial" w:cs="Arial"/>
          <w:lang w:eastAsia="es-MX"/>
        </w:rPr>
        <w:t xml:space="preserve">en la que se </w:t>
      </w:r>
      <w:r w:rsidR="00F26694">
        <w:rPr>
          <w:rFonts w:ascii="Arial" w:hAnsi="Arial" w:cs="Arial"/>
          <w:lang w:eastAsia="es-MX"/>
        </w:rPr>
        <w:t>atendió</w:t>
      </w:r>
      <w:r w:rsidR="00A005AC">
        <w:rPr>
          <w:rFonts w:ascii="Arial" w:hAnsi="Arial" w:cs="Arial"/>
          <w:lang w:eastAsia="es-MX"/>
        </w:rPr>
        <w:t xml:space="preserve"> </w:t>
      </w:r>
      <w:r w:rsidR="00B14E9E">
        <w:rPr>
          <w:rFonts w:ascii="Arial" w:hAnsi="Arial" w:cs="Arial"/>
          <w:lang w:eastAsia="es-MX"/>
        </w:rPr>
        <w:t xml:space="preserve">la solicitud </w:t>
      </w:r>
      <w:r>
        <w:rPr>
          <w:rFonts w:ascii="Arial" w:hAnsi="Arial" w:cs="Arial"/>
          <w:lang w:eastAsia="es-MX"/>
        </w:rPr>
        <w:t>esta modificación ya se había realizado</w:t>
      </w:r>
      <w:r w:rsidR="0037340F">
        <w:rPr>
          <w:rFonts w:ascii="Arial" w:hAnsi="Arial" w:cs="Arial"/>
          <w:lang w:eastAsia="es-MX"/>
        </w:rPr>
        <w:t>;</w:t>
      </w:r>
      <w:r>
        <w:rPr>
          <w:rFonts w:ascii="Arial" w:hAnsi="Arial" w:cs="Arial"/>
          <w:lang w:eastAsia="es-MX"/>
        </w:rPr>
        <w:t xml:space="preserve"> por lo que </w:t>
      </w:r>
      <w:r w:rsidR="001875D8" w:rsidRPr="00F61CCC">
        <w:rPr>
          <w:rFonts w:ascii="Arial" w:hAnsi="Arial" w:cs="Arial"/>
          <w:lang w:eastAsia="es-MX"/>
        </w:rPr>
        <w:t xml:space="preserve">la </w:t>
      </w:r>
      <w:r>
        <w:rPr>
          <w:rFonts w:ascii="Arial" w:hAnsi="Arial" w:cs="Arial"/>
          <w:lang w:eastAsia="es-MX"/>
        </w:rPr>
        <w:t>nueva t</w:t>
      </w:r>
      <w:r w:rsidR="001875D8" w:rsidRPr="00F61CCC">
        <w:rPr>
          <w:rFonts w:ascii="Arial" w:hAnsi="Arial" w:cs="Arial"/>
          <w:lang w:eastAsia="es-MX"/>
        </w:rPr>
        <w:t xml:space="preserve">itular debió </w:t>
      </w:r>
      <w:r w:rsidR="00B14E9E">
        <w:rPr>
          <w:rFonts w:ascii="Arial" w:hAnsi="Arial" w:cs="Arial"/>
          <w:lang w:eastAsia="es-MX"/>
        </w:rPr>
        <w:t>brindar</w:t>
      </w:r>
      <w:r w:rsidR="001875D8" w:rsidRPr="00F61CCC">
        <w:rPr>
          <w:rFonts w:ascii="Arial" w:hAnsi="Arial" w:cs="Arial"/>
          <w:lang w:eastAsia="es-MX"/>
        </w:rPr>
        <w:t xml:space="preserve"> </w:t>
      </w:r>
      <w:r w:rsidR="004E1B57">
        <w:rPr>
          <w:rFonts w:ascii="Arial" w:hAnsi="Arial" w:cs="Arial"/>
          <w:lang w:eastAsia="es-MX"/>
        </w:rPr>
        <w:t>lo requerido de manera</w:t>
      </w:r>
      <w:r w:rsidR="001875D8" w:rsidRPr="00F61CCC">
        <w:rPr>
          <w:rFonts w:ascii="Arial" w:hAnsi="Arial" w:cs="Arial"/>
          <w:lang w:eastAsia="es-MX"/>
        </w:rPr>
        <w:t xml:space="preserve"> actualizada</w:t>
      </w:r>
      <w:r>
        <w:rPr>
          <w:rFonts w:ascii="Arial" w:hAnsi="Arial" w:cs="Arial"/>
          <w:lang w:eastAsia="es-MX"/>
        </w:rPr>
        <w:t>.</w:t>
      </w:r>
    </w:p>
    <w:p w:rsidR="000D43A3" w:rsidRDefault="000D43A3" w:rsidP="00C26495">
      <w:pPr>
        <w:rPr>
          <w:rFonts w:ascii="Arial" w:hAnsi="Arial" w:cs="Arial"/>
          <w:lang w:eastAsia="es-MX"/>
        </w:rPr>
      </w:pPr>
    </w:p>
    <w:p w:rsidR="007B4FE0" w:rsidRDefault="005C4F04" w:rsidP="008D308C">
      <w:pPr>
        <w:rPr>
          <w:rFonts w:ascii="Arial" w:hAnsi="Arial" w:cs="Arial"/>
          <w:lang w:eastAsia="es-MX"/>
        </w:rPr>
      </w:pPr>
      <w:r w:rsidRPr="005C4F04">
        <w:rPr>
          <w:rFonts w:ascii="Arial" w:hAnsi="Arial" w:cs="Arial"/>
          <w:lang w:eastAsia="es-MX"/>
        </w:rPr>
        <w:t>En la sesión pública de hoy, el Instituto Veracruzano de Acceso a la Información y Protección de Datos Personales resolvió 144 recursos de revisión y 17 expedientes de investigación, emitiendo 153 sentencias.</w:t>
      </w:r>
    </w:p>
    <w:p w:rsidR="00635A59" w:rsidRDefault="00635A59" w:rsidP="008D308C">
      <w:pPr>
        <w:rPr>
          <w:rFonts w:ascii="Arial" w:hAnsi="Arial" w:cs="Arial"/>
          <w:b/>
          <w:lang w:eastAsia="es-MX"/>
        </w:rPr>
      </w:pPr>
      <w:bookmarkStart w:id="0" w:name="_GoBack"/>
      <w:bookmarkEnd w:id="0"/>
    </w:p>
    <w:p w:rsidR="008D57B7" w:rsidRDefault="008D57B7"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FD" w:rsidRDefault="006D46FD" w:rsidP="00E418E4">
      <w:r>
        <w:separator/>
      </w:r>
    </w:p>
  </w:endnote>
  <w:endnote w:type="continuationSeparator" w:id="0">
    <w:p w:rsidR="006D46FD" w:rsidRDefault="006D46F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635A59">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FD" w:rsidRDefault="006D46FD" w:rsidP="00E418E4">
      <w:r>
        <w:separator/>
      </w:r>
    </w:p>
  </w:footnote>
  <w:footnote w:type="continuationSeparator" w:id="0">
    <w:p w:rsidR="006D46FD" w:rsidRDefault="006D46F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20</w:t>
    </w:r>
  </w:p>
  <w:p w:rsidR="001D4B3F" w:rsidRPr="00ED0024" w:rsidRDefault="00AF2A81" w:rsidP="00C33AFE">
    <w:pPr>
      <w:pStyle w:val="Encabezado"/>
      <w:rPr>
        <w:rFonts w:ascii="Arial Narrow" w:hAnsi="Arial Narrow"/>
        <w:b/>
        <w:sz w:val="20"/>
        <w:szCs w:val="20"/>
      </w:rPr>
    </w:pPr>
    <w:r>
      <w:rPr>
        <w:rFonts w:ascii="Arial Narrow" w:hAnsi="Arial Narrow"/>
        <w:b/>
        <w:sz w:val="20"/>
        <w:szCs w:val="20"/>
      </w:rPr>
      <w:t>20</w:t>
    </w:r>
    <w:r w:rsidR="001D4B3F">
      <w:rPr>
        <w:rFonts w:ascii="Arial Narrow" w:hAnsi="Arial Narrow"/>
        <w:b/>
        <w:sz w:val="20"/>
        <w:szCs w:val="20"/>
      </w:rPr>
      <w:t>/</w:t>
    </w:r>
    <w:r w:rsidR="00CD76C2">
      <w:rPr>
        <w:rFonts w:ascii="Arial Narrow" w:hAnsi="Arial Narrow"/>
        <w:b/>
        <w:sz w:val="20"/>
        <w:szCs w:val="20"/>
      </w:rPr>
      <w:t>0</w:t>
    </w:r>
    <w:r w:rsidR="00CC5346">
      <w:rPr>
        <w:rFonts w:ascii="Arial Narrow" w:hAnsi="Arial Narrow"/>
        <w:b/>
        <w:sz w:val="20"/>
        <w:szCs w:val="20"/>
      </w:rPr>
      <w:t>6</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6"/>
  </w:num>
  <w:num w:numId="5">
    <w:abstractNumId w:val="25"/>
  </w:num>
  <w:num w:numId="6">
    <w:abstractNumId w:val="22"/>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4"/>
  </w:num>
  <w:num w:numId="16">
    <w:abstractNumId w:val="23"/>
  </w:num>
  <w:num w:numId="17">
    <w:abstractNumId w:val="4"/>
  </w:num>
  <w:num w:numId="18">
    <w:abstractNumId w:val="17"/>
  </w:num>
  <w:num w:numId="19">
    <w:abstractNumId w:val="8"/>
  </w:num>
  <w:num w:numId="20">
    <w:abstractNumId w:val="6"/>
  </w:num>
  <w:num w:numId="21">
    <w:abstractNumId w:val="9"/>
  </w:num>
  <w:num w:numId="22">
    <w:abstractNumId w:val="19"/>
  </w:num>
  <w:num w:numId="23">
    <w:abstractNumId w:val="13"/>
  </w:num>
  <w:num w:numId="24">
    <w:abstractNumId w:val="21"/>
  </w:num>
  <w:num w:numId="25">
    <w:abstractNumId w:val="14"/>
  </w:num>
  <w:num w:numId="26">
    <w:abstractNumId w:val="18"/>
  </w:num>
  <w:num w:numId="27">
    <w:abstractNumId w:val="27"/>
  </w:num>
  <w:num w:numId="2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EEB"/>
    <w:rsid w:val="00043F89"/>
    <w:rsid w:val="00044567"/>
    <w:rsid w:val="0004467C"/>
    <w:rsid w:val="00044FE5"/>
    <w:rsid w:val="00045643"/>
    <w:rsid w:val="00045A44"/>
    <w:rsid w:val="00045A56"/>
    <w:rsid w:val="000466A4"/>
    <w:rsid w:val="0004672B"/>
    <w:rsid w:val="00046B44"/>
    <w:rsid w:val="00046EFB"/>
    <w:rsid w:val="00047D86"/>
    <w:rsid w:val="00047F8F"/>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4BE6"/>
    <w:rsid w:val="006252A6"/>
    <w:rsid w:val="006252F0"/>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9B8"/>
    <w:rsid w:val="00A00F29"/>
    <w:rsid w:val="00A01146"/>
    <w:rsid w:val="00A012B0"/>
    <w:rsid w:val="00A0267C"/>
    <w:rsid w:val="00A02849"/>
    <w:rsid w:val="00A039BB"/>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2D8FE-18C4-4529-A6D4-D7D9214E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2</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591</cp:revision>
  <cp:lastPrinted>2017-03-23T00:31:00Z</cp:lastPrinted>
  <dcterms:created xsi:type="dcterms:W3CDTF">2017-11-09T04:52:00Z</dcterms:created>
  <dcterms:modified xsi:type="dcterms:W3CDTF">2018-06-20T23:27:00Z</dcterms:modified>
</cp:coreProperties>
</file>