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63" w:rsidRPr="00D57261" w:rsidRDefault="00A57563" w:rsidP="00A57563">
      <w:pPr>
        <w:jc w:val="center"/>
        <w:rPr>
          <w:rFonts w:ascii="Arial" w:hAnsi="Arial" w:cs="Arial"/>
        </w:rPr>
      </w:pPr>
      <w:r w:rsidRPr="00D57261">
        <w:rPr>
          <w:rFonts w:ascii="Arial" w:hAnsi="Arial" w:cs="Arial"/>
        </w:rPr>
        <w:t xml:space="preserve">IVAI emite </w:t>
      </w:r>
      <w:r w:rsidR="00D57261" w:rsidRPr="00D57261">
        <w:rPr>
          <w:rFonts w:ascii="Arial" w:hAnsi="Arial" w:cs="Arial"/>
        </w:rPr>
        <w:t>exhorto</w:t>
      </w:r>
      <w:r w:rsidRPr="00D57261">
        <w:rPr>
          <w:rFonts w:ascii="Arial" w:hAnsi="Arial" w:cs="Arial"/>
        </w:rPr>
        <w:t xml:space="preserve"> a sujetos obligados</w:t>
      </w:r>
      <w:r w:rsidR="00D57261" w:rsidRPr="00D57261">
        <w:rPr>
          <w:rFonts w:ascii="Arial" w:hAnsi="Arial" w:cs="Arial"/>
        </w:rPr>
        <w:t xml:space="preserve"> de Veracruz</w:t>
      </w:r>
    </w:p>
    <w:p w:rsidR="00A57563" w:rsidRPr="00D57261" w:rsidRDefault="00A57563" w:rsidP="00A57563">
      <w:pPr>
        <w:rPr>
          <w:rFonts w:ascii="Arial" w:hAnsi="Arial" w:cs="Arial"/>
          <w:b/>
          <w:sz w:val="28"/>
          <w:szCs w:val="28"/>
        </w:rPr>
      </w:pPr>
    </w:p>
    <w:p w:rsidR="00A57563" w:rsidRPr="00D57261" w:rsidRDefault="00A57563" w:rsidP="00A57563">
      <w:pPr>
        <w:jc w:val="center"/>
        <w:rPr>
          <w:rFonts w:ascii="Arial" w:hAnsi="Arial" w:cs="Arial"/>
          <w:b/>
          <w:sz w:val="28"/>
          <w:szCs w:val="28"/>
        </w:rPr>
      </w:pPr>
      <w:r w:rsidRPr="00D57261">
        <w:rPr>
          <w:rFonts w:ascii="Arial" w:hAnsi="Arial" w:cs="Arial"/>
          <w:b/>
          <w:sz w:val="28"/>
          <w:szCs w:val="28"/>
        </w:rPr>
        <w:t xml:space="preserve">No se debe eliminar información de </w:t>
      </w:r>
    </w:p>
    <w:p w:rsidR="00A57563" w:rsidRPr="00D57261" w:rsidRDefault="00A57563" w:rsidP="00A57563">
      <w:pPr>
        <w:jc w:val="center"/>
        <w:rPr>
          <w:rFonts w:ascii="Arial" w:hAnsi="Arial" w:cs="Arial"/>
          <w:b/>
          <w:sz w:val="28"/>
          <w:szCs w:val="28"/>
        </w:rPr>
      </w:pPr>
      <w:proofErr w:type="gramStart"/>
      <w:r w:rsidRPr="00D57261">
        <w:rPr>
          <w:rFonts w:ascii="Arial" w:hAnsi="Arial" w:cs="Arial"/>
          <w:b/>
          <w:sz w:val="28"/>
          <w:szCs w:val="28"/>
        </w:rPr>
        <w:t>transparencia</w:t>
      </w:r>
      <w:proofErr w:type="gramEnd"/>
      <w:r w:rsidRPr="00D57261">
        <w:rPr>
          <w:rFonts w:ascii="Arial" w:hAnsi="Arial" w:cs="Arial"/>
          <w:b/>
          <w:sz w:val="28"/>
          <w:szCs w:val="28"/>
        </w:rPr>
        <w:t xml:space="preserve"> por ser proceso electoral</w:t>
      </w:r>
    </w:p>
    <w:p w:rsidR="00A57563" w:rsidRPr="00D57261" w:rsidRDefault="00A57563" w:rsidP="00A57563">
      <w:pPr>
        <w:jc w:val="center"/>
        <w:rPr>
          <w:rFonts w:ascii="Arial" w:hAnsi="Arial" w:cs="Arial"/>
        </w:rPr>
      </w:pPr>
    </w:p>
    <w:p w:rsidR="00A57563" w:rsidRPr="00565C78" w:rsidRDefault="00A57563" w:rsidP="00DA3E2B">
      <w:pPr>
        <w:pStyle w:val="Prrafodelista"/>
        <w:numPr>
          <w:ilvl w:val="0"/>
          <w:numId w:val="26"/>
        </w:numPr>
        <w:contextualSpacing/>
        <w:rPr>
          <w:rFonts w:ascii="Arial" w:hAnsi="Arial" w:cs="Arial"/>
          <w:sz w:val="20"/>
          <w:szCs w:val="20"/>
        </w:rPr>
      </w:pPr>
      <w:r w:rsidRPr="00565C78">
        <w:rPr>
          <w:rFonts w:ascii="Arial" w:hAnsi="Arial" w:cs="Arial"/>
          <w:sz w:val="20"/>
          <w:szCs w:val="20"/>
        </w:rPr>
        <w:t>Deben mantener en sus portales lo referente a obligaciones de transparencia</w:t>
      </w:r>
      <w:r w:rsidR="00565C78" w:rsidRPr="00565C78">
        <w:rPr>
          <w:rFonts w:ascii="Arial" w:hAnsi="Arial" w:cs="Arial"/>
          <w:sz w:val="20"/>
          <w:szCs w:val="20"/>
        </w:rPr>
        <w:t xml:space="preserve">; </w:t>
      </w:r>
      <w:r w:rsidR="00565C78">
        <w:rPr>
          <w:rFonts w:ascii="Arial" w:hAnsi="Arial" w:cs="Arial"/>
          <w:sz w:val="20"/>
          <w:szCs w:val="20"/>
        </w:rPr>
        <w:t>e</w:t>
      </w:r>
      <w:r w:rsidRPr="00565C78">
        <w:rPr>
          <w:rFonts w:ascii="Arial" w:hAnsi="Arial" w:cs="Arial"/>
          <w:sz w:val="20"/>
          <w:szCs w:val="20"/>
        </w:rPr>
        <w:t>stas no constituyen propaganda gubernamental</w:t>
      </w:r>
    </w:p>
    <w:p w:rsidR="00D57261" w:rsidRPr="00565C78" w:rsidRDefault="00D57261" w:rsidP="00690CA2">
      <w:pPr>
        <w:pStyle w:val="Prrafodelista"/>
        <w:numPr>
          <w:ilvl w:val="0"/>
          <w:numId w:val="26"/>
        </w:numPr>
        <w:contextualSpacing/>
        <w:rPr>
          <w:rFonts w:ascii="Arial" w:hAnsi="Arial" w:cs="Arial"/>
          <w:sz w:val="20"/>
          <w:szCs w:val="20"/>
        </w:rPr>
      </w:pPr>
      <w:r w:rsidRPr="00565C78">
        <w:rPr>
          <w:rFonts w:ascii="Arial" w:hAnsi="Arial" w:cs="Arial"/>
          <w:sz w:val="20"/>
          <w:szCs w:val="20"/>
        </w:rPr>
        <w:t>Están obligados a continuar actualizando la Plataforma Nacional de Transparencia</w:t>
      </w:r>
    </w:p>
    <w:p w:rsidR="00A57563" w:rsidRDefault="00A57563" w:rsidP="00A57563">
      <w:pPr>
        <w:rPr>
          <w:rFonts w:ascii="Arial" w:hAnsi="Arial" w:cs="Arial"/>
        </w:rPr>
      </w:pPr>
    </w:p>
    <w:p w:rsidR="00A57563" w:rsidRDefault="00A57563" w:rsidP="00A57563">
      <w:pPr>
        <w:rPr>
          <w:rFonts w:ascii="Arial" w:hAnsi="Arial" w:cs="Arial"/>
        </w:rPr>
      </w:pPr>
    </w:p>
    <w:p w:rsidR="005700DF" w:rsidRDefault="00A57563" w:rsidP="00A57563">
      <w:pPr>
        <w:rPr>
          <w:rFonts w:ascii="Arial" w:hAnsi="Arial" w:cs="Arial"/>
        </w:rPr>
      </w:pPr>
      <w:r>
        <w:rPr>
          <w:rFonts w:ascii="Arial" w:hAnsi="Arial" w:cs="Arial"/>
        </w:rPr>
        <w:t xml:space="preserve">Xalapa, Ver., a </w:t>
      </w:r>
      <w:r w:rsidR="005338CA">
        <w:rPr>
          <w:rFonts w:ascii="Arial" w:hAnsi="Arial" w:cs="Arial"/>
        </w:rPr>
        <w:t>9</w:t>
      </w:r>
      <w:bookmarkStart w:id="0" w:name="_GoBack"/>
      <w:bookmarkEnd w:id="0"/>
      <w:r>
        <w:rPr>
          <w:rFonts w:ascii="Arial" w:hAnsi="Arial" w:cs="Arial"/>
        </w:rPr>
        <w:t xml:space="preserve"> de enero de 2018.- </w:t>
      </w:r>
      <w:r w:rsidR="005700DF">
        <w:rPr>
          <w:rFonts w:ascii="Arial" w:hAnsi="Arial" w:cs="Arial"/>
        </w:rPr>
        <w:t>El Instituto Veracruzano de Acceso a la Información y Protección de Datos Personales (IVAI)</w:t>
      </w:r>
      <w:r w:rsidR="00F43D6A">
        <w:rPr>
          <w:rFonts w:ascii="Arial" w:hAnsi="Arial" w:cs="Arial"/>
        </w:rPr>
        <w:t xml:space="preserve">, mediante acuerdo </w:t>
      </w:r>
      <w:r w:rsidR="00332D85">
        <w:rPr>
          <w:rFonts w:ascii="Arial" w:hAnsi="Arial" w:cs="Arial"/>
        </w:rPr>
        <w:t>ODG/SE-169/13/12/2017</w:t>
      </w:r>
      <w:r w:rsidR="00BC2CF0">
        <w:rPr>
          <w:rFonts w:ascii="Arial" w:hAnsi="Arial" w:cs="Arial"/>
        </w:rPr>
        <w:t>,</w:t>
      </w:r>
      <w:r w:rsidR="003A1A49">
        <w:rPr>
          <w:rFonts w:ascii="Arial" w:hAnsi="Arial" w:cs="Arial"/>
        </w:rPr>
        <w:t xml:space="preserve"> </w:t>
      </w:r>
      <w:r w:rsidR="005700DF">
        <w:rPr>
          <w:rFonts w:ascii="Arial" w:hAnsi="Arial" w:cs="Arial"/>
        </w:rPr>
        <w:t>emitió un exhorto a los sujetos obligados para que d</w:t>
      </w:r>
      <w:r w:rsidR="005700DF" w:rsidRPr="005700DF">
        <w:rPr>
          <w:rFonts w:ascii="Arial" w:hAnsi="Arial" w:cs="Arial"/>
        </w:rPr>
        <w:t xml:space="preserve">urante todo el desarrollo del proceso electoral local 2017-2018 </w:t>
      </w:r>
      <w:r w:rsidR="005700DF">
        <w:rPr>
          <w:rFonts w:ascii="Arial" w:hAnsi="Arial" w:cs="Arial"/>
        </w:rPr>
        <w:t>–</w:t>
      </w:r>
      <w:r w:rsidR="005700DF" w:rsidRPr="00D57261">
        <w:rPr>
          <w:rFonts w:ascii="Arial" w:hAnsi="Arial" w:cs="Arial"/>
        </w:rPr>
        <w:t>incluyendo el inicio de las precampañas y campañas y hasta la conclusión del mismo</w:t>
      </w:r>
      <w:r w:rsidR="005700DF">
        <w:rPr>
          <w:rFonts w:ascii="Arial" w:hAnsi="Arial" w:cs="Arial"/>
        </w:rPr>
        <w:t xml:space="preserve">– </w:t>
      </w:r>
      <w:r w:rsidR="005700DF" w:rsidRPr="005700DF">
        <w:rPr>
          <w:rFonts w:ascii="Arial" w:hAnsi="Arial" w:cs="Arial"/>
        </w:rPr>
        <w:t>continúen con la publicación de información en la Plataforma Nacional de Transparencia y mantengan disponible, habilitado y con las actualizaciones que ordena la ley</w:t>
      </w:r>
      <w:r w:rsidR="005700DF">
        <w:rPr>
          <w:rFonts w:ascii="Arial" w:hAnsi="Arial" w:cs="Arial"/>
        </w:rPr>
        <w:t>,</w:t>
      </w:r>
      <w:r w:rsidR="005700DF" w:rsidRPr="005700DF">
        <w:rPr>
          <w:rFonts w:ascii="Arial" w:hAnsi="Arial" w:cs="Arial"/>
        </w:rPr>
        <w:t xml:space="preserve"> sus portales institucionales</w:t>
      </w:r>
      <w:r w:rsidR="005700DF">
        <w:rPr>
          <w:rFonts w:ascii="Arial" w:hAnsi="Arial" w:cs="Arial"/>
        </w:rPr>
        <w:t xml:space="preserve"> con</w:t>
      </w:r>
      <w:r w:rsidR="005700DF" w:rsidRPr="005700DF">
        <w:rPr>
          <w:rFonts w:ascii="Arial" w:hAnsi="Arial" w:cs="Arial"/>
        </w:rPr>
        <w:t xml:space="preserve"> la información pública derivada de las obligaciones de transparencia.</w:t>
      </w:r>
    </w:p>
    <w:p w:rsidR="00D57261" w:rsidRDefault="00D57261" w:rsidP="00A57563">
      <w:pPr>
        <w:rPr>
          <w:rFonts w:ascii="Arial" w:hAnsi="Arial" w:cs="Arial"/>
        </w:rPr>
      </w:pPr>
    </w:p>
    <w:p w:rsidR="00D57261" w:rsidRDefault="00D57261" w:rsidP="00A57563">
      <w:pPr>
        <w:rPr>
          <w:rFonts w:ascii="Arial" w:hAnsi="Arial" w:cs="Arial"/>
        </w:rPr>
      </w:pPr>
      <w:r>
        <w:rPr>
          <w:rFonts w:ascii="Arial" w:hAnsi="Arial" w:cs="Arial"/>
        </w:rPr>
        <w:t xml:space="preserve">Esto en virtud de que </w:t>
      </w:r>
      <w:r w:rsidRPr="00D57261">
        <w:rPr>
          <w:rFonts w:ascii="Arial" w:hAnsi="Arial" w:cs="Arial"/>
        </w:rPr>
        <w:t xml:space="preserve">se ha observado que en anteriores procesos electorales algunos sujetos obligados han determinado suspender el funcionamiento de sus </w:t>
      </w:r>
      <w:r w:rsidR="003A1A49">
        <w:rPr>
          <w:rFonts w:ascii="Arial" w:hAnsi="Arial" w:cs="Arial"/>
        </w:rPr>
        <w:t>páginas de internet</w:t>
      </w:r>
      <w:r w:rsidRPr="00D57261">
        <w:rPr>
          <w:rFonts w:ascii="Arial" w:hAnsi="Arial" w:cs="Arial"/>
        </w:rPr>
        <w:t>, incluso los sitios destinados al cumplimiento de las obligaciones de transparencia, lo que constituye un acto violatorio de diversas disposiciones y criterios</w:t>
      </w:r>
      <w:r>
        <w:rPr>
          <w:rFonts w:ascii="Arial" w:hAnsi="Arial" w:cs="Arial"/>
        </w:rPr>
        <w:t>.</w:t>
      </w:r>
    </w:p>
    <w:p w:rsidR="00D57261" w:rsidRDefault="00D57261" w:rsidP="00A57563">
      <w:pPr>
        <w:rPr>
          <w:rFonts w:ascii="Arial" w:hAnsi="Arial" w:cs="Arial"/>
        </w:rPr>
      </w:pPr>
    </w:p>
    <w:p w:rsidR="00A57563" w:rsidRDefault="00A57563" w:rsidP="00A57563">
      <w:pPr>
        <w:rPr>
          <w:rFonts w:ascii="Arial" w:hAnsi="Arial" w:cs="Arial"/>
        </w:rPr>
      </w:pPr>
      <w:r>
        <w:rPr>
          <w:rFonts w:ascii="Arial" w:hAnsi="Arial" w:cs="Arial"/>
        </w:rPr>
        <w:t xml:space="preserve">Tal es el caso de la </w:t>
      </w:r>
      <w:r w:rsidRPr="002C348A">
        <w:rPr>
          <w:rFonts w:ascii="Arial" w:hAnsi="Arial" w:cs="Arial"/>
        </w:rPr>
        <w:t xml:space="preserve">Ley General </w:t>
      </w:r>
      <w:r>
        <w:rPr>
          <w:rFonts w:ascii="Arial" w:hAnsi="Arial" w:cs="Arial"/>
        </w:rPr>
        <w:t>d</w:t>
      </w:r>
      <w:r w:rsidRPr="002C348A">
        <w:rPr>
          <w:rFonts w:ascii="Arial" w:hAnsi="Arial" w:cs="Arial"/>
        </w:rPr>
        <w:t xml:space="preserve">e Transparencia </w:t>
      </w:r>
      <w:r>
        <w:rPr>
          <w:rFonts w:ascii="Arial" w:hAnsi="Arial" w:cs="Arial"/>
        </w:rPr>
        <w:t>y</w:t>
      </w:r>
      <w:r w:rsidRPr="002C348A">
        <w:rPr>
          <w:rFonts w:ascii="Arial" w:hAnsi="Arial" w:cs="Arial"/>
        </w:rPr>
        <w:t xml:space="preserve"> Acceso </w:t>
      </w:r>
      <w:r>
        <w:rPr>
          <w:rFonts w:ascii="Arial" w:hAnsi="Arial" w:cs="Arial"/>
        </w:rPr>
        <w:t>a l</w:t>
      </w:r>
      <w:r w:rsidRPr="002C348A">
        <w:rPr>
          <w:rFonts w:ascii="Arial" w:hAnsi="Arial" w:cs="Arial"/>
        </w:rPr>
        <w:t>a Información Pública</w:t>
      </w:r>
      <w:r>
        <w:rPr>
          <w:rFonts w:ascii="Arial" w:hAnsi="Arial" w:cs="Arial"/>
        </w:rPr>
        <w:t>, que en su artículo 12 refiere que t</w:t>
      </w:r>
      <w:r w:rsidRPr="00E81294">
        <w:rPr>
          <w:rFonts w:ascii="Arial" w:hAnsi="Arial" w:cs="Arial"/>
        </w:rPr>
        <w:t>oda la información pública generada, obtenida, adquirida, transformada o en posesión de los sujetos obligados es pública y será accesible a cualquier persona</w:t>
      </w:r>
      <w:r>
        <w:rPr>
          <w:rFonts w:ascii="Arial" w:hAnsi="Arial" w:cs="Arial"/>
        </w:rPr>
        <w:t>;</w:t>
      </w:r>
      <w:r w:rsidRPr="00E81294">
        <w:rPr>
          <w:rFonts w:ascii="Arial" w:hAnsi="Arial" w:cs="Arial"/>
        </w:rPr>
        <w:t xml:space="preserve"> para lo que se deberán habilitar todos los medios, acciones y esfuerzos disponibles en los términos y condiciones que establezca esta </w:t>
      </w:r>
      <w:r>
        <w:rPr>
          <w:rFonts w:ascii="Arial" w:hAnsi="Arial" w:cs="Arial"/>
        </w:rPr>
        <w:t>l</w:t>
      </w:r>
      <w:r w:rsidRPr="00E81294">
        <w:rPr>
          <w:rFonts w:ascii="Arial" w:hAnsi="Arial" w:cs="Arial"/>
        </w:rPr>
        <w:t>ey, la ley federal y las correspondientes de las entidades federativas, así como demás normas aplicables.</w:t>
      </w:r>
    </w:p>
    <w:p w:rsidR="00A57563" w:rsidRDefault="00A57563" w:rsidP="00A57563">
      <w:pPr>
        <w:rPr>
          <w:rFonts w:ascii="Arial" w:hAnsi="Arial" w:cs="Arial"/>
        </w:rPr>
      </w:pPr>
    </w:p>
    <w:p w:rsidR="00A57563" w:rsidRDefault="00A57563" w:rsidP="00A57563">
      <w:pPr>
        <w:rPr>
          <w:rFonts w:ascii="Arial" w:hAnsi="Arial" w:cs="Arial"/>
        </w:rPr>
      </w:pPr>
      <w:r>
        <w:rPr>
          <w:rFonts w:ascii="Arial" w:hAnsi="Arial" w:cs="Arial"/>
        </w:rPr>
        <w:t>Asimismo, en su a</w:t>
      </w:r>
      <w:r w:rsidRPr="002C348A">
        <w:rPr>
          <w:rFonts w:ascii="Arial" w:hAnsi="Arial" w:cs="Arial"/>
        </w:rPr>
        <w:t>rtículo 67</w:t>
      </w:r>
      <w:r>
        <w:rPr>
          <w:rFonts w:ascii="Arial" w:hAnsi="Arial" w:cs="Arial"/>
        </w:rPr>
        <w:t xml:space="preserve"> refiere que </w:t>
      </w:r>
      <w:r w:rsidRPr="002B73E3">
        <w:rPr>
          <w:rFonts w:ascii="Arial" w:hAnsi="Arial" w:cs="Arial"/>
          <w:b/>
        </w:rPr>
        <w:t>la información publicada por los sujetos obligados no constituye propaganda gubernamental</w:t>
      </w:r>
      <w:r w:rsidRPr="002E2537">
        <w:rPr>
          <w:rFonts w:ascii="Arial" w:hAnsi="Arial" w:cs="Arial"/>
        </w:rPr>
        <w:t>,</w:t>
      </w:r>
      <w:r>
        <w:rPr>
          <w:rFonts w:ascii="Arial" w:hAnsi="Arial" w:cs="Arial"/>
        </w:rPr>
        <w:t xml:space="preserve"> </w:t>
      </w:r>
      <w:r w:rsidRPr="002B73E3">
        <w:rPr>
          <w:rFonts w:ascii="Arial" w:hAnsi="Arial" w:cs="Arial"/>
        </w:rPr>
        <w:t>que incluso dentro de los procesos electorales deberán mantener accesible la información</w:t>
      </w:r>
      <w:r w:rsidRPr="00E81294">
        <w:rPr>
          <w:rFonts w:ascii="Arial" w:hAnsi="Arial" w:cs="Arial"/>
        </w:rPr>
        <w:t xml:space="preserve"> en el portal de obligaciones de transparencia, salvo disposición expresa en contrario en la normatividad electoral.</w:t>
      </w:r>
    </w:p>
    <w:p w:rsidR="00A57563" w:rsidRDefault="00A57563" w:rsidP="00A57563">
      <w:pPr>
        <w:rPr>
          <w:rFonts w:ascii="Arial" w:hAnsi="Arial" w:cs="Arial"/>
        </w:rPr>
      </w:pPr>
    </w:p>
    <w:p w:rsidR="00A57563" w:rsidRPr="002E2537" w:rsidRDefault="00A57563" w:rsidP="00A57563">
      <w:pPr>
        <w:rPr>
          <w:rFonts w:ascii="Arial" w:hAnsi="Arial" w:cs="Arial"/>
        </w:rPr>
      </w:pPr>
      <w:r>
        <w:rPr>
          <w:rFonts w:ascii="Arial" w:hAnsi="Arial" w:cs="Arial"/>
        </w:rPr>
        <w:t xml:space="preserve">En ese tenor, el </w:t>
      </w:r>
      <w:r w:rsidRPr="007A101C">
        <w:rPr>
          <w:rFonts w:ascii="Arial" w:hAnsi="Arial" w:cs="Arial"/>
        </w:rPr>
        <w:t xml:space="preserve">Código Electoral para el Estado </w:t>
      </w:r>
      <w:r>
        <w:rPr>
          <w:rFonts w:ascii="Arial" w:hAnsi="Arial" w:cs="Arial"/>
        </w:rPr>
        <w:t>de Veracruz, en su a</w:t>
      </w:r>
      <w:r w:rsidRPr="007A101C">
        <w:rPr>
          <w:rFonts w:ascii="Arial" w:hAnsi="Arial" w:cs="Arial"/>
        </w:rPr>
        <w:t>rtículo 42</w:t>
      </w:r>
      <w:r>
        <w:rPr>
          <w:rFonts w:ascii="Arial" w:hAnsi="Arial" w:cs="Arial"/>
        </w:rPr>
        <w:t xml:space="preserve">, fracción </w:t>
      </w:r>
      <w:r w:rsidRPr="0053478C">
        <w:rPr>
          <w:rFonts w:ascii="Arial" w:hAnsi="Arial" w:cs="Arial"/>
        </w:rPr>
        <w:t>XVI</w:t>
      </w:r>
      <w:r>
        <w:rPr>
          <w:rFonts w:ascii="Arial" w:hAnsi="Arial" w:cs="Arial"/>
        </w:rPr>
        <w:t xml:space="preserve">, establece que </w:t>
      </w:r>
      <w:r w:rsidRPr="002E2537">
        <w:rPr>
          <w:rFonts w:ascii="Arial" w:hAnsi="Arial" w:cs="Arial"/>
        </w:rPr>
        <w:t>los partidos políticos estatales están obligados a dar cumplimiento a las obligaciones que, en materia de derecho de acceso a la información, establece la ley de la materia.</w:t>
      </w:r>
    </w:p>
    <w:p w:rsidR="00A57563" w:rsidRDefault="00A57563" w:rsidP="00A57563">
      <w:pPr>
        <w:rPr>
          <w:rFonts w:ascii="Arial" w:hAnsi="Arial" w:cs="Arial"/>
          <w:b/>
        </w:rPr>
      </w:pPr>
    </w:p>
    <w:p w:rsidR="00A57563" w:rsidRPr="00EF6B46" w:rsidRDefault="00A57563" w:rsidP="00A57563">
      <w:pPr>
        <w:rPr>
          <w:rFonts w:ascii="Arial" w:hAnsi="Arial" w:cs="Arial"/>
        </w:rPr>
      </w:pPr>
      <w:r>
        <w:rPr>
          <w:rFonts w:ascii="Arial" w:hAnsi="Arial" w:cs="Arial"/>
        </w:rPr>
        <w:t>Además, cabe señalar que en el a</w:t>
      </w:r>
      <w:r w:rsidRPr="00EF6B46">
        <w:rPr>
          <w:rFonts w:ascii="Arial" w:hAnsi="Arial" w:cs="Arial"/>
        </w:rPr>
        <w:t>rtículo 69</w:t>
      </w:r>
      <w:r>
        <w:rPr>
          <w:rFonts w:ascii="Arial" w:hAnsi="Arial" w:cs="Arial"/>
        </w:rPr>
        <w:t xml:space="preserve"> de dicho ordenamiento se plasma que es </w:t>
      </w:r>
      <w:r w:rsidRPr="002E2537">
        <w:rPr>
          <w:rFonts w:ascii="Arial" w:hAnsi="Arial" w:cs="Arial"/>
        </w:rPr>
        <w:t xml:space="preserve">propaganda electoral </w:t>
      </w:r>
      <w:r>
        <w:rPr>
          <w:rFonts w:ascii="Arial" w:hAnsi="Arial" w:cs="Arial"/>
        </w:rPr>
        <w:t xml:space="preserve">aquella que se </w:t>
      </w:r>
      <w:r w:rsidRPr="002E2537">
        <w:rPr>
          <w:rFonts w:ascii="Arial" w:hAnsi="Arial" w:cs="Arial"/>
        </w:rPr>
        <w:t>produce y difunde con el propósito de presentar ante la ciudadanía las candidaturas registradas.</w:t>
      </w:r>
      <w:r>
        <w:rPr>
          <w:rFonts w:ascii="Arial" w:hAnsi="Arial" w:cs="Arial"/>
        </w:rPr>
        <w:t xml:space="preserve"> Por lo que las obligaciones de transparencia no </w:t>
      </w:r>
      <w:r w:rsidR="00FB6342">
        <w:rPr>
          <w:rFonts w:ascii="Arial" w:hAnsi="Arial" w:cs="Arial"/>
        </w:rPr>
        <w:t>es</w:t>
      </w:r>
      <w:r>
        <w:rPr>
          <w:rFonts w:ascii="Arial" w:hAnsi="Arial" w:cs="Arial"/>
        </w:rPr>
        <w:t xml:space="preserve"> información que tenga este fin. </w:t>
      </w:r>
    </w:p>
    <w:p w:rsidR="00A57563" w:rsidRDefault="00A57563" w:rsidP="00A57563">
      <w:pPr>
        <w:rPr>
          <w:rFonts w:ascii="Arial" w:hAnsi="Arial" w:cs="Arial"/>
          <w:b/>
        </w:rPr>
      </w:pPr>
    </w:p>
    <w:p w:rsidR="00A57563" w:rsidRDefault="007C0D38" w:rsidP="00A57563">
      <w:pPr>
        <w:rPr>
          <w:rFonts w:ascii="Arial" w:hAnsi="Arial" w:cs="Arial"/>
        </w:rPr>
      </w:pPr>
      <w:r>
        <w:rPr>
          <w:rFonts w:ascii="Arial" w:hAnsi="Arial" w:cs="Arial"/>
        </w:rPr>
        <w:lastRenderedPageBreak/>
        <w:t>Por otro lado</w:t>
      </w:r>
      <w:r w:rsidR="00A57563">
        <w:rPr>
          <w:rFonts w:ascii="Arial" w:hAnsi="Arial" w:cs="Arial"/>
        </w:rPr>
        <w:t xml:space="preserve">, </w:t>
      </w:r>
      <w:r>
        <w:rPr>
          <w:rFonts w:ascii="Arial" w:hAnsi="Arial" w:cs="Arial"/>
        </w:rPr>
        <w:t>l</w:t>
      </w:r>
      <w:r w:rsidR="00A57563" w:rsidRPr="00EF6B46">
        <w:rPr>
          <w:rFonts w:ascii="Arial" w:hAnsi="Arial" w:cs="Arial"/>
        </w:rPr>
        <w:t>a Ley General de Partidos Políticos</w:t>
      </w:r>
      <w:r w:rsidR="00C25F8D">
        <w:rPr>
          <w:rFonts w:ascii="Arial" w:hAnsi="Arial" w:cs="Arial"/>
        </w:rPr>
        <w:t xml:space="preserve">, </w:t>
      </w:r>
      <w:r w:rsidR="00A57563">
        <w:rPr>
          <w:rFonts w:ascii="Arial" w:hAnsi="Arial" w:cs="Arial"/>
        </w:rPr>
        <w:t xml:space="preserve">en los artículos </w:t>
      </w:r>
      <w:r w:rsidR="00A57563" w:rsidRPr="00EF6B46">
        <w:rPr>
          <w:rFonts w:ascii="Arial" w:hAnsi="Arial" w:cs="Arial"/>
        </w:rPr>
        <w:t>25</w:t>
      </w:r>
      <w:r w:rsidR="00A57563">
        <w:rPr>
          <w:rFonts w:ascii="Arial" w:hAnsi="Arial" w:cs="Arial"/>
        </w:rPr>
        <w:t xml:space="preserve">, </w:t>
      </w:r>
      <w:r w:rsidR="00A57563" w:rsidRPr="00EF6B46">
        <w:rPr>
          <w:rFonts w:ascii="Arial" w:hAnsi="Arial" w:cs="Arial"/>
        </w:rPr>
        <w:t>28</w:t>
      </w:r>
      <w:r w:rsidR="00A57563">
        <w:rPr>
          <w:rFonts w:ascii="Arial" w:hAnsi="Arial" w:cs="Arial"/>
        </w:rPr>
        <w:t xml:space="preserve"> y </w:t>
      </w:r>
      <w:r w:rsidR="00A57563" w:rsidRPr="00EF6B46">
        <w:rPr>
          <w:rFonts w:ascii="Arial" w:hAnsi="Arial" w:cs="Arial"/>
        </w:rPr>
        <w:t>32</w:t>
      </w:r>
      <w:r w:rsidR="00A57563">
        <w:rPr>
          <w:rFonts w:ascii="Arial" w:hAnsi="Arial" w:cs="Arial"/>
        </w:rPr>
        <w:t xml:space="preserve">, también establece que es deber </w:t>
      </w:r>
      <w:r w:rsidR="00A57563" w:rsidRPr="00A47AE2">
        <w:rPr>
          <w:rFonts w:ascii="Arial" w:hAnsi="Arial" w:cs="Arial"/>
        </w:rPr>
        <w:t xml:space="preserve">de </w:t>
      </w:r>
      <w:r w:rsidR="00C25F8D">
        <w:rPr>
          <w:rFonts w:ascii="Arial" w:hAnsi="Arial" w:cs="Arial"/>
        </w:rPr>
        <w:t xml:space="preserve">estos organismos </w:t>
      </w:r>
      <w:r w:rsidR="00A57563">
        <w:rPr>
          <w:rFonts w:ascii="Arial" w:hAnsi="Arial" w:cs="Arial"/>
        </w:rPr>
        <w:t>c</w:t>
      </w:r>
      <w:r w:rsidR="00A57563" w:rsidRPr="00A47AE2">
        <w:rPr>
          <w:rFonts w:ascii="Arial" w:hAnsi="Arial" w:cs="Arial"/>
        </w:rPr>
        <w:t xml:space="preserve">umplir con las obligaciones </w:t>
      </w:r>
      <w:r w:rsidR="00A57563">
        <w:rPr>
          <w:rFonts w:ascii="Arial" w:hAnsi="Arial" w:cs="Arial"/>
        </w:rPr>
        <w:t xml:space="preserve">de </w:t>
      </w:r>
      <w:r w:rsidR="00A57563" w:rsidRPr="00A47AE2">
        <w:rPr>
          <w:rFonts w:ascii="Arial" w:hAnsi="Arial" w:cs="Arial"/>
        </w:rPr>
        <w:t xml:space="preserve">la legislación </w:t>
      </w:r>
      <w:r w:rsidR="00A57563">
        <w:rPr>
          <w:rFonts w:ascii="Arial" w:hAnsi="Arial" w:cs="Arial"/>
        </w:rPr>
        <w:t xml:space="preserve">de la </w:t>
      </w:r>
      <w:r w:rsidR="00A57563" w:rsidRPr="00A47AE2">
        <w:rPr>
          <w:rFonts w:ascii="Arial" w:hAnsi="Arial" w:cs="Arial"/>
        </w:rPr>
        <w:t xml:space="preserve">materia </w:t>
      </w:r>
      <w:r w:rsidR="00A57563">
        <w:rPr>
          <w:rFonts w:ascii="Arial" w:hAnsi="Arial" w:cs="Arial"/>
        </w:rPr>
        <w:t xml:space="preserve">y </w:t>
      </w:r>
      <w:r w:rsidR="00A57563" w:rsidRPr="00A47AE2">
        <w:rPr>
          <w:rFonts w:ascii="Arial" w:hAnsi="Arial" w:cs="Arial"/>
        </w:rPr>
        <w:t>publicar en su página electrónica, como mínimo, la información especificada com</w:t>
      </w:r>
      <w:r w:rsidR="00A57563">
        <w:rPr>
          <w:rFonts w:ascii="Arial" w:hAnsi="Arial" w:cs="Arial"/>
        </w:rPr>
        <w:t xml:space="preserve">o obligaciones de transparencia, y se puntualiza que </w:t>
      </w:r>
      <w:r w:rsidR="00A57563" w:rsidRPr="00A47AE2">
        <w:rPr>
          <w:rFonts w:ascii="Arial" w:hAnsi="Arial" w:cs="Arial"/>
        </w:rPr>
        <w:t>deberán mantener</w:t>
      </w:r>
      <w:r w:rsidR="00A57563">
        <w:rPr>
          <w:rFonts w:ascii="Arial" w:hAnsi="Arial" w:cs="Arial"/>
        </w:rPr>
        <w:t>la</w:t>
      </w:r>
      <w:r w:rsidR="00A57563" w:rsidRPr="00A47AE2">
        <w:rPr>
          <w:rFonts w:ascii="Arial" w:hAnsi="Arial" w:cs="Arial"/>
        </w:rPr>
        <w:t xml:space="preserve"> actualizada </w:t>
      </w:r>
      <w:r w:rsidR="00A57563" w:rsidRPr="00EF6B46">
        <w:rPr>
          <w:rFonts w:ascii="Arial" w:hAnsi="Arial" w:cs="Arial"/>
          <w:b/>
        </w:rPr>
        <w:t>de forma permanente</w:t>
      </w:r>
      <w:r w:rsidR="00A57563">
        <w:rPr>
          <w:rFonts w:ascii="Arial" w:hAnsi="Arial" w:cs="Arial"/>
        </w:rPr>
        <w:t>.</w:t>
      </w:r>
    </w:p>
    <w:p w:rsidR="007C0D38" w:rsidRDefault="007C0D38" w:rsidP="00A57563">
      <w:pPr>
        <w:rPr>
          <w:rFonts w:ascii="Arial" w:hAnsi="Arial" w:cs="Arial"/>
        </w:rPr>
      </w:pPr>
    </w:p>
    <w:p w:rsidR="00D93874" w:rsidRDefault="003A1A49" w:rsidP="00A57563">
      <w:pPr>
        <w:rPr>
          <w:rFonts w:ascii="Arial" w:hAnsi="Arial" w:cs="Arial"/>
        </w:rPr>
      </w:pPr>
      <w:r>
        <w:rPr>
          <w:rFonts w:ascii="Arial" w:hAnsi="Arial" w:cs="Arial"/>
        </w:rPr>
        <w:t>Finalmente</w:t>
      </w:r>
      <w:r w:rsidR="00C25F8D">
        <w:rPr>
          <w:rFonts w:ascii="Arial" w:hAnsi="Arial" w:cs="Arial"/>
        </w:rPr>
        <w:t xml:space="preserve">, el </w:t>
      </w:r>
      <w:r w:rsidR="00C25F8D" w:rsidRPr="00C25F8D">
        <w:rPr>
          <w:rFonts w:ascii="Arial" w:hAnsi="Arial" w:cs="Arial"/>
        </w:rPr>
        <w:t xml:space="preserve">Tribunal Electoral </w:t>
      </w:r>
      <w:r w:rsidR="00C25F8D">
        <w:rPr>
          <w:rFonts w:ascii="Arial" w:hAnsi="Arial" w:cs="Arial"/>
        </w:rPr>
        <w:t>d</w:t>
      </w:r>
      <w:r w:rsidR="00C25F8D" w:rsidRPr="00C25F8D">
        <w:rPr>
          <w:rFonts w:ascii="Arial" w:hAnsi="Arial" w:cs="Arial"/>
        </w:rPr>
        <w:t xml:space="preserve">el Poder Judicial </w:t>
      </w:r>
      <w:r w:rsidR="00C25F8D">
        <w:rPr>
          <w:rFonts w:ascii="Arial" w:hAnsi="Arial" w:cs="Arial"/>
        </w:rPr>
        <w:t>d</w:t>
      </w:r>
      <w:r w:rsidR="00C25F8D" w:rsidRPr="00C25F8D">
        <w:rPr>
          <w:rFonts w:ascii="Arial" w:hAnsi="Arial" w:cs="Arial"/>
        </w:rPr>
        <w:t xml:space="preserve">e </w:t>
      </w:r>
      <w:r w:rsidR="00C25F8D">
        <w:rPr>
          <w:rFonts w:ascii="Arial" w:hAnsi="Arial" w:cs="Arial"/>
        </w:rPr>
        <w:t>l</w:t>
      </w:r>
      <w:r w:rsidR="00C25F8D" w:rsidRPr="00C25F8D">
        <w:rPr>
          <w:rFonts w:ascii="Arial" w:hAnsi="Arial" w:cs="Arial"/>
        </w:rPr>
        <w:t>a Federación</w:t>
      </w:r>
      <w:r w:rsidR="00C25F8D">
        <w:rPr>
          <w:rFonts w:ascii="Arial" w:hAnsi="Arial" w:cs="Arial"/>
        </w:rPr>
        <w:t xml:space="preserve"> </w:t>
      </w:r>
      <w:r w:rsidR="00D23A79">
        <w:rPr>
          <w:rFonts w:ascii="Arial" w:hAnsi="Arial" w:cs="Arial"/>
        </w:rPr>
        <w:t xml:space="preserve">ha emitido diversas posturas al respecto de lo que es la propaganda electoral: la </w:t>
      </w:r>
      <w:r w:rsidR="00D93874">
        <w:rPr>
          <w:rFonts w:ascii="Arial" w:hAnsi="Arial" w:cs="Arial"/>
        </w:rPr>
        <w:t>j</w:t>
      </w:r>
      <w:r w:rsidR="00C25F8D" w:rsidRPr="00C25F8D">
        <w:rPr>
          <w:rFonts w:ascii="Arial" w:hAnsi="Arial" w:cs="Arial"/>
        </w:rPr>
        <w:t>urisprudencia 37/2010</w:t>
      </w:r>
      <w:r w:rsidR="00D23A79">
        <w:rPr>
          <w:rFonts w:ascii="Arial" w:hAnsi="Arial" w:cs="Arial"/>
        </w:rPr>
        <w:t xml:space="preserve"> </w:t>
      </w:r>
      <w:r w:rsidR="00C25F8D">
        <w:rPr>
          <w:rFonts w:ascii="Arial" w:hAnsi="Arial" w:cs="Arial"/>
        </w:rPr>
        <w:t xml:space="preserve">refiere que </w:t>
      </w:r>
      <w:r w:rsidR="00D23A79">
        <w:rPr>
          <w:rFonts w:ascii="Arial" w:hAnsi="Arial" w:cs="Arial"/>
        </w:rPr>
        <w:t xml:space="preserve">esta </w:t>
      </w:r>
      <w:r w:rsidR="00C25F8D" w:rsidRPr="00C25F8D">
        <w:rPr>
          <w:rFonts w:ascii="Arial" w:hAnsi="Arial" w:cs="Arial"/>
        </w:rPr>
        <w:t>comprende la difusión comercial que se realiza en el contexto de una campaña comicial cuando contiene elementos que revelan la intención de promover una candidatura o un part</w:t>
      </w:r>
      <w:r w:rsidR="00C25F8D">
        <w:rPr>
          <w:rFonts w:ascii="Arial" w:hAnsi="Arial" w:cs="Arial"/>
        </w:rPr>
        <w:t>ido político ante la ciudadanía</w:t>
      </w:r>
      <w:r w:rsidR="00D93874">
        <w:rPr>
          <w:rFonts w:ascii="Arial" w:hAnsi="Arial" w:cs="Arial"/>
        </w:rPr>
        <w:t>; y la t</w:t>
      </w:r>
      <w:r w:rsidR="00D93874" w:rsidRPr="00D93874">
        <w:rPr>
          <w:rFonts w:ascii="Arial" w:hAnsi="Arial" w:cs="Arial"/>
        </w:rPr>
        <w:t>esis CXX/2002</w:t>
      </w:r>
      <w:r w:rsidR="00D93874">
        <w:rPr>
          <w:rFonts w:ascii="Arial" w:hAnsi="Arial" w:cs="Arial"/>
        </w:rPr>
        <w:t xml:space="preserve"> </w:t>
      </w:r>
      <w:r w:rsidR="00D23A79">
        <w:rPr>
          <w:rFonts w:ascii="Arial" w:hAnsi="Arial" w:cs="Arial"/>
        </w:rPr>
        <w:t xml:space="preserve">señala que </w:t>
      </w:r>
      <w:r w:rsidR="00D23A79" w:rsidRPr="00D23A79">
        <w:rPr>
          <w:rFonts w:ascii="Arial" w:hAnsi="Arial" w:cs="Arial"/>
        </w:rPr>
        <w:t>no solamente se limita a captar adeptos sino que también busca reducir el número de adeptos, simpatizantes o votos de los otros partidos políticos que intervienen en la contienda electoral</w:t>
      </w:r>
      <w:r w:rsidR="00D23A79">
        <w:rPr>
          <w:rFonts w:ascii="Arial" w:hAnsi="Arial" w:cs="Arial"/>
        </w:rPr>
        <w:t xml:space="preserve">. Situaciones que no aplican en el caso de la información pública. </w:t>
      </w:r>
    </w:p>
    <w:p w:rsidR="00A57563" w:rsidRDefault="00A57563" w:rsidP="00A57563">
      <w:pPr>
        <w:rPr>
          <w:rFonts w:ascii="Arial" w:hAnsi="Arial" w:cs="Arial"/>
        </w:rPr>
      </w:pPr>
    </w:p>
    <w:p w:rsidR="005700DF" w:rsidRDefault="00A57563" w:rsidP="00A57563">
      <w:pPr>
        <w:rPr>
          <w:rFonts w:ascii="Arial" w:hAnsi="Arial" w:cs="Arial"/>
        </w:rPr>
      </w:pPr>
      <w:r>
        <w:rPr>
          <w:rFonts w:ascii="Arial" w:hAnsi="Arial" w:cs="Arial"/>
        </w:rPr>
        <w:t>A</w:t>
      </w:r>
      <w:r w:rsidRPr="0078345B">
        <w:rPr>
          <w:rFonts w:ascii="Arial" w:hAnsi="Arial" w:cs="Arial"/>
        </w:rPr>
        <w:t xml:space="preserve">nte esta fundamentación, </w:t>
      </w:r>
      <w:r w:rsidR="005700DF" w:rsidRPr="005700DF">
        <w:rPr>
          <w:rFonts w:ascii="Arial" w:hAnsi="Arial" w:cs="Arial"/>
          <w:b/>
        </w:rPr>
        <w:t>no existe justificación alguna para que con motivo del proceso electoral local los sujetos obligados eliminen la información que por ley están obligados a publicar</w:t>
      </w:r>
      <w:r w:rsidR="005700DF">
        <w:rPr>
          <w:rFonts w:ascii="Arial" w:hAnsi="Arial" w:cs="Arial"/>
        </w:rPr>
        <w:t>.</w:t>
      </w:r>
    </w:p>
    <w:p w:rsidR="005700DF" w:rsidRDefault="005700DF" w:rsidP="00A57563">
      <w:pPr>
        <w:rPr>
          <w:rFonts w:ascii="Arial" w:hAnsi="Arial" w:cs="Arial"/>
        </w:rPr>
      </w:pPr>
    </w:p>
    <w:p w:rsidR="005700DF" w:rsidRDefault="00F43D6A" w:rsidP="00A57563">
      <w:pPr>
        <w:rPr>
          <w:rFonts w:ascii="Arial" w:hAnsi="Arial" w:cs="Arial"/>
        </w:rPr>
      </w:pPr>
      <w:r w:rsidRPr="00F43D6A">
        <w:rPr>
          <w:rFonts w:ascii="Arial" w:hAnsi="Arial" w:cs="Arial"/>
        </w:rPr>
        <w:t xml:space="preserve">El acuerdo </w:t>
      </w:r>
      <w:r>
        <w:rPr>
          <w:rFonts w:ascii="Arial" w:hAnsi="Arial" w:cs="Arial"/>
        </w:rPr>
        <w:t xml:space="preserve">fue notificado a todos los sujetos obligados del estado de Veracruz, y fueron apercibidos de que </w:t>
      </w:r>
      <w:r w:rsidRPr="00F43D6A">
        <w:rPr>
          <w:rFonts w:ascii="Arial" w:hAnsi="Arial" w:cs="Arial"/>
          <w:b/>
        </w:rPr>
        <w:t>e</w:t>
      </w:r>
      <w:r w:rsidR="005700DF" w:rsidRPr="00F43D6A">
        <w:rPr>
          <w:rFonts w:ascii="Arial" w:hAnsi="Arial" w:cs="Arial"/>
          <w:b/>
        </w:rPr>
        <w:t xml:space="preserve">n caso de no </w:t>
      </w:r>
      <w:r w:rsidR="003A1A49">
        <w:rPr>
          <w:rFonts w:ascii="Arial" w:hAnsi="Arial" w:cs="Arial"/>
          <w:b/>
        </w:rPr>
        <w:t xml:space="preserve">atender </w:t>
      </w:r>
      <w:r w:rsidR="005700DF" w:rsidRPr="00F43D6A">
        <w:rPr>
          <w:rFonts w:ascii="Arial" w:hAnsi="Arial" w:cs="Arial"/>
          <w:b/>
        </w:rPr>
        <w:t>e</w:t>
      </w:r>
      <w:r>
        <w:rPr>
          <w:rFonts w:ascii="Arial" w:hAnsi="Arial" w:cs="Arial"/>
          <w:b/>
        </w:rPr>
        <w:t>l</w:t>
      </w:r>
      <w:r w:rsidR="005700DF" w:rsidRPr="00F43D6A">
        <w:rPr>
          <w:rFonts w:ascii="Arial" w:hAnsi="Arial" w:cs="Arial"/>
          <w:b/>
        </w:rPr>
        <w:t xml:space="preserve"> exhorto, el Instituto Veracruzano de Acceso a la Información y Protección de Datos Personales promoverá los procedimientos correspondientes</w:t>
      </w:r>
      <w:r w:rsidR="005700DF" w:rsidRPr="005700DF">
        <w:rPr>
          <w:rFonts w:ascii="Arial" w:hAnsi="Arial" w:cs="Arial"/>
        </w:rPr>
        <w:t xml:space="preserve">, </w:t>
      </w:r>
      <w:r w:rsidR="005700DF">
        <w:rPr>
          <w:rFonts w:ascii="Arial" w:hAnsi="Arial" w:cs="Arial"/>
        </w:rPr>
        <w:t xml:space="preserve">conforme a </w:t>
      </w:r>
      <w:r w:rsidR="005700DF" w:rsidRPr="005700DF">
        <w:rPr>
          <w:rFonts w:ascii="Arial" w:hAnsi="Arial" w:cs="Arial"/>
        </w:rPr>
        <w:t>los términos establecidos en la ley de la materia.</w:t>
      </w:r>
    </w:p>
    <w:p w:rsidR="00F43D6A" w:rsidRDefault="00F43D6A" w:rsidP="00A57563">
      <w:pPr>
        <w:rPr>
          <w:rFonts w:ascii="Arial" w:hAnsi="Arial" w:cs="Arial"/>
        </w:rPr>
      </w:pPr>
    </w:p>
    <w:p w:rsidR="00F43D6A" w:rsidRDefault="00F43D6A" w:rsidP="00A57563">
      <w:pPr>
        <w:rPr>
          <w:rFonts w:ascii="Arial" w:hAnsi="Arial" w:cs="Arial"/>
        </w:rPr>
      </w:pPr>
    </w:p>
    <w:p w:rsidR="005700DF" w:rsidRDefault="005700DF" w:rsidP="00A57563">
      <w:pPr>
        <w:rPr>
          <w:rFonts w:ascii="Arial" w:hAnsi="Arial" w:cs="Arial"/>
        </w:rPr>
      </w:pPr>
    </w:p>
    <w:p w:rsidR="005700DF" w:rsidRDefault="005700DF" w:rsidP="00A57563">
      <w:pPr>
        <w:rPr>
          <w:rFonts w:ascii="Arial" w:hAnsi="Arial" w:cs="Arial"/>
        </w:rPr>
      </w:pPr>
    </w:p>
    <w:p w:rsidR="005700DF" w:rsidRDefault="005700DF" w:rsidP="005700DF">
      <w:pPr>
        <w:jc w:val="center"/>
        <w:rPr>
          <w:rFonts w:ascii="Arial" w:hAnsi="Arial" w:cs="Arial"/>
          <w:lang w:eastAsia="es-MX"/>
        </w:rPr>
      </w:pPr>
      <w:r w:rsidRPr="00000C84">
        <w:rPr>
          <w:rFonts w:ascii="Arial" w:hAnsi="Arial" w:cs="Arial"/>
          <w:b/>
          <w:lang w:eastAsia="es-MX"/>
        </w:rPr>
        <w:t>---000---</w:t>
      </w:r>
    </w:p>
    <w:p w:rsidR="005700DF" w:rsidRDefault="005700DF" w:rsidP="00A57563">
      <w:pPr>
        <w:rPr>
          <w:rFonts w:ascii="Arial" w:hAnsi="Arial" w:cs="Arial"/>
        </w:rPr>
      </w:pPr>
    </w:p>
    <w:sectPr w:rsidR="005700D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32" w:rsidRDefault="00DD4032" w:rsidP="00E418E4">
      <w:r>
        <w:separator/>
      </w:r>
    </w:p>
  </w:endnote>
  <w:endnote w:type="continuationSeparator" w:id="0">
    <w:p w:rsidR="00DD4032" w:rsidRDefault="00DD403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5338CA">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32" w:rsidRDefault="00DD4032" w:rsidP="00E418E4">
      <w:r>
        <w:separator/>
      </w:r>
    </w:p>
  </w:footnote>
  <w:footnote w:type="continuationSeparator" w:id="0">
    <w:p w:rsidR="00DD4032" w:rsidRDefault="00DD403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00D57261">
      <w:rPr>
        <w:rFonts w:ascii="Arial Narrow" w:hAnsi="Arial Narrow"/>
        <w:b/>
        <w:sz w:val="20"/>
        <w:szCs w:val="20"/>
      </w:rPr>
      <w:t>BOLETÍN</w:t>
    </w:r>
    <w:r w:rsidRPr="00ED0024">
      <w:rPr>
        <w:rFonts w:ascii="Arial Narrow" w:hAnsi="Arial Narrow"/>
        <w:b/>
        <w:sz w:val="20"/>
        <w:szCs w:val="20"/>
      </w:rPr>
      <w:t xml:space="preserve">.- </w:t>
    </w:r>
    <w:r w:rsidR="00D57261">
      <w:rPr>
        <w:rFonts w:ascii="Arial Narrow" w:hAnsi="Arial Narrow"/>
        <w:b/>
        <w:sz w:val="20"/>
        <w:szCs w:val="20"/>
      </w:rPr>
      <w:t>01</w:t>
    </w:r>
  </w:p>
  <w:p w:rsidR="001D4B3F" w:rsidRPr="00ED0024" w:rsidRDefault="00D57261" w:rsidP="00C33AFE">
    <w:pPr>
      <w:pStyle w:val="Encabezado"/>
      <w:rPr>
        <w:rFonts w:ascii="Arial Narrow" w:hAnsi="Arial Narrow"/>
        <w:b/>
        <w:sz w:val="20"/>
        <w:szCs w:val="20"/>
      </w:rPr>
    </w:pPr>
    <w:r>
      <w:rPr>
        <w:rFonts w:ascii="Arial Narrow" w:hAnsi="Arial Narrow"/>
        <w:b/>
        <w:sz w:val="20"/>
        <w:szCs w:val="20"/>
      </w:rPr>
      <w:t>0</w:t>
    </w:r>
    <w:r w:rsidR="005338CA">
      <w:rPr>
        <w:rFonts w:ascii="Arial Narrow" w:hAnsi="Arial Narrow"/>
        <w:b/>
        <w:sz w:val="20"/>
        <w:szCs w:val="20"/>
      </w:rPr>
      <w:t>9</w:t>
    </w:r>
    <w:r w:rsidR="001D4B3F">
      <w:rPr>
        <w:rFonts w:ascii="Arial Narrow" w:hAnsi="Arial Narrow"/>
        <w:b/>
        <w:sz w:val="20"/>
        <w:szCs w:val="20"/>
      </w:rPr>
      <w:t>/</w:t>
    </w:r>
    <w:r>
      <w:rPr>
        <w:rFonts w:ascii="Arial Narrow" w:hAnsi="Arial Narrow"/>
        <w:b/>
        <w:sz w:val="20"/>
        <w:szCs w:val="20"/>
      </w:rPr>
      <w:t>01</w:t>
    </w:r>
    <w:r w:rsidR="001D4B3F" w:rsidRPr="00ED0024">
      <w:rPr>
        <w:rFonts w:ascii="Arial Narrow" w:hAnsi="Arial Narrow"/>
        <w:b/>
        <w:sz w:val="20"/>
        <w:szCs w:val="20"/>
      </w:rPr>
      <w:t>/201</w:t>
    </w:r>
    <w:r>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927E5C"/>
    <w:multiLevelType w:val="hybridMultilevel"/>
    <w:tmpl w:val="D2BE82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25"/>
  </w:num>
  <w:num w:numId="5">
    <w:abstractNumId w:val="24"/>
  </w:num>
  <w:num w:numId="6">
    <w:abstractNumId w:val="21"/>
  </w:num>
  <w:num w:numId="7">
    <w:abstractNumId w:val="17"/>
  </w:num>
  <w:num w:numId="8">
    <w:abstractNumId w:val="5"/>
  </w:num>
  <w:num w:numId="9">
    <w:abstractNumId w:val="16"/>
  </w:num>
  <w:num w:numId="10">
    <w:abstractNumId w:val="13"/>
  </w:num>
  <w:num w:numId="11">
    <w:abstractNumId w:val="1"/>
  </w:num>
  <w:num w:numId="12">
    <w:abstractNumId w:val="0"/>
  </w:num>
  <w:num w:numId="13">
    <w:abstractNumId w:val="12"/>
  </w:num>
  <w:num w:numId="14">
    <w:abstractNumId w:val="7"/>
  </w:num>
  <w:num w:numId="15">
    <w:abstractNumId w:val="23"/>
  </w:num>
  <w:num w:numId="16">
    <w:abstractNumId w:val="22"/>
  </w:num>
  <w:num w:numId="17">
    <w:abstractNumId w:val="4"/>
  </w:num>
  <w:num w:numId="18">
    <w:abstractNumId w:val="18"/>
  </w:num>
  <w:num w:numId="19">
    <w:abstractNumId w:val="9"/>
  </w:num>
  <w:num w:numId="20">
    <w:abstractNumId w:val="6"/>
  </w:num>
  <w:num w:numId="21">
    <w:abstractNumId w:val="10"/>
  </w:num>
  <w:num w:numId="22">
    <w:abstractNumId w:val="19"/>
  </w:num>
  <w:num w:numId="23">
    <w:abstractNumId w:val="14"/>
  </w:num>
  <w:num w:numId="24">
    <w:abstractNumId w:val="20"/>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686"/>
    <w:rsid w:val="001B4778"/>
    <w:rsid w:val="001B47AF"/>
    <w:rsid w:val="001B5343"/>
    <w:rsid w:val="001B55CD"/>
    <w:rsid w:val="001B71E7"/>
    <w:rsid w:val="001B75CD"/>
    <w:rsid w:val="001B7F31"/>
    <w:rsid w:val="001C03B3"/>
    <w:rsid w:val="001C06AA"/>
    <w:rsid w:val="001C080F"/>
    <w:rsid w:val="001C0B3E"/>
    <w:rsid w:val="001C118B"/>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2216"/>
    <w:rsid w:val="00232B42"/>
    <w:rsid w:val="00233016"/>
    <w:rsid w:val="002330E8"/>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457F"/>
    <w:rsid w:val="00254594"/>
    <w:rsid w:val="0025482E"/>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275"/>
    <w:rsid w:val="002A35F8"/>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D8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97CE1"/>
    <w:rsid w:val="003A03B9"/>
    <w:rsid w:val="003A1228"/>
    <w:rsid w:val="003A1A49"/>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62F"/>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0CC"/>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38C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5C78"/>
    <w:rsid w:val="00566A06"/>
    <w:rsid w:val="0056715A"/>
    <w:rsid w:val="005673EF"/>
    <w:rsid w:val="005700D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66"/>
    <w:rsid w:val="00593D4D"/>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865"/>
    <w:rsid w:val="00734A80"/>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0D38"/>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6E7"/>
    <w:rsid w:val="009D1788"/>
    <w:rsid w:val="009D206F"/>
    <w:rsid w:val="009D2DEE"/>
    <w:rsid w:val="009D332C"/>
    <w:rsid w:val="009D37BA"/>
    <w:rsid w:val="009D37D8"/>
    <w:rsid w:val="009D47B9"/>
    <w:rsid w:val="009D4B73"/>
    <w:rsid w:val="009D4FD8"/>
    <w:rsid w:val="009D5608"/>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563"/>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34D4"/>
    <w:rsid w:val="00A73D41"/>
    <w:rsid w:val="00A74730"/>
    <w:rsid w:val="00A7503D"/>
    <w:rsid w:val="00A752DF"/>
    <w:rsid w:val="00A75579"/>
    <w:rsid w:val="00A75699"/>
    <w:rsid w:val="00A75741"/>
    <w:rsid w:val="00A765ED"/>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386"/>
    <w:rsid w:val="00B72D9D"/>
    <w:rsid w:val="00B732DF"/>
    <w:rsid w:val="00B739E3"/>
    <w:rsid w:val="00B73A8E"/>
    <w:rsid w:val="00B7405D"/>
    <w:rsid w:val="00B74571"/>
    <w:rsid w:val="00B74E0B"/>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2CF0"/>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5F8D"/>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3A79"/>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261"/>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874"/>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032"/>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702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6A"/>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342"/>
    <w:rsid w:val="00FB6AFD"/>
    <w:rsid w:val="00FB6C35"/>
    <w:rsid w:val="00FB73C8"/>
    <w:rsid w:val="00FB7CB7"/>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227BD-B093-476D-BF22-DA660316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12</cp:revision>
  <cp:lastPrinted>2017-03-23T00:31:00Z</cp:lastPrinted>
  <dcterms:created xsi:type="dcterms:W3CDTF">2018-01-08T23:58:00Z</dcterms:created>
  <dcterms:modified xsi:type="dcterms:W3CDTF">2018-01-09T04:54:00Z</dcterms:modified>
</cp:coreProperties>
</file>