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B0" w:rsidRDefault="00B913B0" w:rsidP="00E25550">
      <w:pPr>
        <w:jc w:val="center"/>
        <w:rPr>
          <w:rFonts w:ascii="Arial" w:hAnsi="Arial" w:cs="Arial"/>
          <w:b/>
          <w:sz w:val="28"/>
          <w:szCs w:val="28"/>
          <w:lang w:eastAsia="es-MX"/>
        </w:rPr>
      </w:pPr>
      <w:r>
        <w:rPr>
          <w:rFonts w:ascii="Arial" w:hAnsi="Arial" w:cs="Arial"/>
          <w:b/>
          <w:sz w:val="28"/>
          <w:szCs w:val="28"/>
          <w:lang w:eastAsia="es-MX"/>
        </w:rPr>
        <w:t xml:space="preserve">IVAI se opone a prevenciones ociosas </w:t>
      </w:r>
    </w:p>
    <w:p w:rsidR="006E2780" w:rsidRPr="00894361" w:rsidRDefault="00B913B0" w:rsidP="00E25550">
      <w:pPr>
        <w:jc w:val="center"/>
        <w:rPr>
          <w:rFonts w:ascii="Arial" w:hAnsi="Arial" w:cs="Arial"/>
          <w:b/>
          <w:sz w:val="28"/>
          <w:szCs w:val="28"/>
          <w:lang w:eastAsia="es-MX"/>
        </w:rPr>
      </w:pPr>
      <w:proofErr w:type="gramStart"/>
      <w:r>
        <w:rPr>
          <w:rFonts w:ascii="Arial" w:hAnsi="Arial" w:cs="Arial"/>
          <w:b/>
          <w:sz w:val="28"/>
          <w:szCs w:val="28"/>
          <w:lang w:eastAsia="es-MX"/>
        </w:rPr>
        <w:t>que</w:t>
      </w:r>
      <w:proofErr w:type="gramEnd"/>
      <w:r>
        <w:rPr>
          <w:rFonts w:ascii="Arial" w:hAnsi="Arial" w:cs="Arial"/>
          <w:b/>
          <w:sz w:val="28"/>
          <w:szCs w:val="28"/>
          <w:lang w:eastAsia="es-MX"/>
        </w:rPr>
        <w:t xml:space="preserve"> retrasen el acceso a la información</w:t>
      </w:r>
    </w:p>
    <w:p w:rsidR="00CA7203" w:rsidRPr="00894361" w:rsidRDefault="00CA7203" w:rsidP="00E25550">
      <w:pPr>
        <w:jc w:val="center"/>
        <w:rPr>
          <w:rFonts w:ascii="Arial" w:hAnsi="Arial" w:cs="Arial"/>
          <w:b/>
          <w:lang w:eastAsia="es-MX"/>
        </w:rPr>
      </w:pPr>
    </w:p>
    <w:p w:rsidR="00E238AA" w:rsidRDefault="00B913B0"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lang w:eastAsia="es-MX"/>
        </w:rPr>
        <w:t>Llama la atención al OPLE para evitar afectaciones a este derecho</w:t>
      </w:r>
    </w:p>
    <w:p w:rsidR="00B913B0" w:rsidRPr="00894361" w:rsidRDefault="00B913B0" w:rsidP="00E238AA">
      <w:pPr>
        <w:pStyle w:val="Prrafodelista"/>
        <w:widowControl w:val="0"/>
        <w:numPr>
          <w:ilvl w:val="0"/>
          <w:numId w:val="20"/>
        </w:numPr>
        <w:kinsoku w:val="0"/>
        <w:overflowPunct w:val="0"/>
        <w:autoSpaceDE w:val="0"/>
        <w:autoSpaceDN w:val="0"/>
        <w:adjustRightInd w:val="0"/>
        <w:rPr>
          <w:rFonts w:ascii="Arial" w:hAnsi="Arial" w:cs="Arial"/>
          <w:lang w:eastAsia="es-MX"/>
        </w:rPr>
      </w:pPr>
      <w:r>
        <w:rPr>
          <w:rFonts w:ascii="Arial" w:hAnsi="Arial" w:cs="Arial"/>
          <w:lang w:eastAsia="es-MX"/>
        </w:rPr>
        <w:t>Busca garantizar el principio de expeditez</w:t>
      </w:r>
    </w:p>
    <w:p w:rsidR="00473EB3" w:rsidRPr="00894361" w:rsidRDefault="00473EB3" w:rsidP="00E25550">
      <w:pPr>
        <w:jc w:val="center"/>
        <w:rPr>
          <w:rFonts w:ascii="Arial" w:hAnsi="Arial" w:cs="Arial"/>
          <w:b/>
          <w:sz w:val="22"/>
          <w:szCs w:val="22"/>
          <w:lang w:eastAsia="es-MX"/>
        </w:rPr>
      </w:pPr>
    </w:p>
    <w:p w:rsidR="0093455D" w:rsidRDefault="002961CD" w:rsidP="0093455D">
      <w:pPr>
        <w:widowControl w:val="0"/>
        <w:kinsoku w:val="0"/>
        <w:overflowPunct w:val="0"/>
        <w:autoSpaceDE w:val="0"/>
        <w:autoSpaceDN w:val="0"/>
        <w:adjustRightInd w:val="0"/>
        <w:rPr>
          <w:rFonts w:ascii="Arial" w:hAnsi="Arial" w:cs="Arial"/>
          <w:lang w:eastAsia="es-MX"/>
        </w:rPr>
      </w:pPr>
      <w:r w:rsidRPr="00894361">
        <w:rPr>
          <w:rFonts w:ascii="Arial" w:hAnsi="Arial" w:cs="Arial"/>
          <w:lang w:eastAsia="es-MX"/>
        </w:rPr>
        <w:t>Xalapa, Ver.,</w:t>
      </w:r>
      <w:r w:rsidR="00CB0467" w:rsidRPr="00894361">
        <w:rPr>
          <w:rFonts w:ascii="Arial" w:hAnsi="Arial" w:cs="Arial"/>
          <w:lang w:eastAsia="es-MX"/>
        </w:rPr>
        <w:t xml:space="preserve"> </w:t>
      </w:r>
      <w:r w:rsidR="00633688" w:rsidRPr="00894361">
        <w:rPr>
          <w:rFonts w:ascii="Arial" w:hAnsi="Arial" w:cs="Arial"/>
          <w:lang w:eastAsia="es-MX"/>
        </w:rPr>
        <w:t>7</w:t>
      </w:r>
      <w:r w:rsidR="0033764A" w:rsidRPr="00894361">
        <w:rPr>
          <w:rFonts w:ascii="Arial" w:hAnsi="Arial" w:cs="Arial"/>
          <w:lang w:eastAsia="es-MX"/>
        </w:rPr>
        <w:t xml:space="preserve"> de</w:t>
      </w:r>
      <w:r w:rsidR="00473EB3" w:rsidRPr="00894361">
        <w:rPr>
          <w:rFonts w:ascii="Arial" w:hAnsi="Arial" w:cs="Arial"/>
          <w:lang w:eastAsia="es-MX"/>
        </w:rPr>
        <w:t xml:space="preserve"> </w:t>
      </w:r>
      <w:r w:rsidR="00633688" w:rsidRPr="00894361">
        <w:rPr>
          <w:rFonts w:ascii="Arial" w:hAnsi="Arial" w:cs="Arial"/>
          <w:lang w:eastAsia="es-MX"/>
        </w:rPr>
        <w:t xml:space="preserve">junio </w:t>
      </w:r>
      <w:r w:rsidR="00CB0467" w:rsidRPr="00894361">
        <w:rPr>
          <w:rFonts w:ascii="Arial" w:hAnsi="Arial" w:cs="Arial"/>
          <w:lang w:eastAsia="es-MX"/>
        </w:rPr>
        <w:t>de 201</w:t>
      </w:r>
      <w:r w:rsidR="00923147" w:rsidRPr="00894361">
        <w:rPr>
          <w:rFonts w:ascii="Arial" w:hAnsi="Arial" w:cs="Arial"/>
          <w:lang w:eastAsia="es-MX"/>
        </w:rPr>
        <w:t>7</w:t>
      </w:r>
      <w:r w:rsidR="00C05FD4" w:rsidRPr="00894361">
        <w:rPr>
          <w:rFonts w:ascii="Arial" w:hAnsi="Arial" w:cs="Arial"/>
          <w:lang w:eastAsia="es-MX"/>
        </w:rPr>
        <w:t>.-</w:t>
      </w:r>
      <w:r w:rsidR="00E3052F" w:rsidRPr="00894361">
        <w:rPr>
          <w:rFonts w:ascii="Arial" w:hAnsi="Arial" w:cs="Arial"/>
          <w:lang w:eastAsia="es-MX"/>
        </w:rPr>
        <w:t xml:space="preserve"> </w:t>
      </w:r>
      <w:r w:rsidR="00B913B0">
        <w:rPr>
          <w:rFonts w:ascii="Arial" w:hAnsi="Arial" w:cs="Arial"/>
          <w:lang w:eastAsia="es-MX"/>
        </w:rPr>
        <w:t xml:space="preserve">Logrando sentar un importante precedente en sus criterios, el Instituto Veracruzano de Acceso a la Información y Protección de Datos Personales (IVAI) </w:t>
      </w:r>
      <w:r w:rsidR="000329A7">
        <w:rPr>
          <w:rFonts w:ascii="Arial" w:hAnsi="Arial" w:cs="Arial"/>
          <w:lang w:eastAsia="es-MX"/>
        </w:rPr>
        <w:t>resolvió el recurso de revisión</w:t>
      </w:r>
      <w:r w:rsidR="00B913B0">
        <w:rPr>
          <w:rFonts w:ascii="Arial" w:hAnsi="Arial" w:cs="Arial"/>
          <w:lang w:eastAsia="es-MX"/>
        </w:rPr>
        <w:t xml:space="preserve"> </w:t>
      </w:r>
      <w:r w:rsidR="00B913B0" w:rsidRPr="00B913B0">
        <w:rPr>
          <w:rFonts w:ascii="Arial" w:hAnsi="Arial" w:cs="Arial"/>
          <w:lang w:eastAsia="es-MX"/>
        </w:rPr>
        <w:t>IVAI-REV/512/2017/I</w:t>
      </w:r>
      <w:r w:rsidR="00B913B0">
        <w:rPr>
          <w:rFonts w:ascii="Arial" w:hAnsi="Arial" w:cs="Arial"/>
          <w:lang w:eastAsia="es-MX"/>
        </w:rPr>
        <w:t xml:space="preserve"> interpuesto en contra del </w:t>
      </w:r>
      <w:r w:rsidR="00B913B0" w:rsidRPr="00B913B0">
        <w:rPr>
          <w:rFonts w:ascii="Arial" w:hAnsi="Arial" w:cs="Arial"/>
          <w:lang w:eastAsia="es-MX"/>
        </w:rPr>
        <w:t>Organismo Público Local Ele</w:t>
      </w:r>
      <w:r w:rsidR="00B913B0">
        <w:rPr>
          <w:rFonts w:ascii="Arial" w:hAnsi="Arial" w:cs="Arial"/>
          <w:lang w:eastAsia="es-MX"/>
        </w:rPr>
        <w:t xml:space="preserve">ctoral del Estado (OPLE) de Veracruz </w:t>
      </w:r>
      <w:r w:rsidR="0093455D">
        <w:rPr>
          <w:rFonts w:ascii="Arial" w:hAnsi="Arial" w:cs="Arial"/>
          <w:lang w:eastAsia="es-MX"/>
        </w:rPr>
        <w:t xml:space="preserve">en el que determinó que cuando se </w:t>
      </w:r>
      <w:r w:rsidR="0093455D" w:rsidRPr="00963BF2">
        <w:rPr>
          <w:rFonts w:ascii="Arial" w:hAnsi="Arial" w:cs="Arial"/>
          <w:lang w:eastAsia="es-MX"/>
        </w:rPr>
        <w:t>requieran mayores datos a los proporcionados originalmente</w:t>
      </w:r>
      <w:r w:rsidR="0093455D">
        <w:rPr>
          <w:rFonts w:ascii="Arial" w:hAnsi="Arial" w:cs="Arial"/>
          <w:lang w:eastAsia="es-MX"/>
        </w:rPr>
        <w:t xml:space="preserve"> en una solicitud de información</w:t>
      </w:r>
      <w:r w:rsidR="000329A7">
        <w:rPr>
          <w:rFonts w:ascii="Arial" w:hAnsi="Arial" w:cs="Arial"/>
          <w:lang w:eastAsia="es-MX"/>
        </w:rPr>
        <w:t>,</w:t>
      </w:r>
      <w:r w:rsidR="0093455D" w:rsidRPr="00963BF2">
        <w:rPr>
          <w:rFonts w:ascii="Arial" w:hAnsi="Arial" w:cs="Arial"/>
          <w:lang w:eastAsia="es-MX"/>
        </w:rPr>
        <w:t xml:space="preserve"> sin que </w:t>
      </w:r>
      <w:r w:rsidR="0093455D">
        <w:rPr>
          <w:rFonts w:ascii="Arial" w:hAnsi="Arial" w:cs="Arial"/>
          <w:lang w:eastAsia="es-MX"/>
        </w:rPr>
        <w:t>e</w:t>
      </w:r>
      <w:r w:rsidR="0093455D" w:rsidRPr="00963BF2">
        <w:rPr>
          <w:rFonts w:ascii="Arial" w:hAnsi="Arial" w:cs="Arial"/>
          <w:lang w:eastAsia="es-MX"/>
        </w:rPr>
        <w:t xml:space="preserve">stos </w:t>
      </w:r>
      <w:r w:rsidR="0093455D">
        <w:rPr>
          <w:rFonts w:ascii="Arial" w:hAnsi="Arial" w:cs="Arial"/>
          <w:lang w:eastAsia="es-MX"/>
        </w:rPr>
        <w:t xml:space="preserve">hayan sido </w:t>
      </w:r>
      <w:r w:rsidR="0093455D" w:rsidRPr="00963BF2">
        <w:rPr>
          <w:rFonts w:ascii="Arial" w:hAnsi="Arial" w:cs="Arial"/>
          <w:lang w:eastAsia="es-MX"/>
        </w:rPr>
        <w:t xml:space="preserve">insuficientes o erróneos, tal conducta </w:t>
      </w:r>
      <w:r w:rsidR="0093455D">
        <w:rPr>
          <w:rFonts w:ascii="Arial" w:hAnsi="Arial" w:cs="Arial"/>
          <w:lang w:eastAsia="es-MX"/>
        </w:rPr>
        <w:t xml:space="preserve">se traduce en </w:t>
      </w:r>
      <w:r w:rsidR="0093455D" w:rsidRPr="00963BF2">
        <w:rPr>
          <w:rFonts w:ascii="Arial" w:hAnsi="Arial" w:cs="Arial"/>
          <w:lang w:eastAsia="es-MX"/>
        </w:rPr>
        <w:t>falta de trámite y</w:t>
      </w:r>
      <w:r w:rsidR="0093455D">
        <w:rPr>
          <w:rFonts w:ascii="Arial" w:hAnsi="Arial" w:cs="Arial"/>
          <w:lang w:eastAsia="es-MX"/>
        </w:rPr>
        <w:t>,</w:t>
      </w:r>
      <w:r w:rsidR="0093455D" w:rsidRPr="00963BF2">
        <w:rPr>
          <w:rFonts w:ascii="Arial" w:hAnsi="Arial" w:cs="Arial"/>
          <w:lang w:eastAsia="es-MX"/>
        </w:rPr>
        <w:t xml:space="preserve"> en consecuencia</w:t>
      </w:r>
      <w:r w:rsidR="0093455D">
        <w:rPr>
          <w:rFonts w:ascii="Arial" w:hAnsi="Arial" w:cs="Arial"/>
          <w:lang w:eastAsia="es-MX"/>
        </w:rPr>
        <w:t>,</w:t>
      </w:r>
      <w:r w:rsidR="0093455D" w:rsidRPr="00963BF2">
        <w:rPr>
          <w:rFonts w:ascii="Arial" w:hAnsi="Arial" w:cs="Arial"/>
          <w:lang w:eastAsia="es-MX"/>
        </w:rPr>
        <w:t xml:space="preserve"> </w:t>
      </w:r>
      <w:r w:rsidR="0093455D">
        <w:rPr>
          <w:rFonts w:ascii="Arial" w:hAnsi="Arial" w:cs="Arial"/>
          <w:lang w:eastAsia="es-MX"/>
        </w:rPr>
        <w:t xml:space="preserve">en </w:t>
      </w:r>
      <w:r w:rsidR="0093455D" w:rsidRPr="00963BF2">
        <w:rPr>
          <w:rFonts w:ascii="Arial" w:hAnsi="Arial" w:cs="Arial"/>
          <w:lang w:eastAsia="es-MX"/>
        </w:rPr>
        <w:t>la negativa del acceso a la información</w:t>
      </w:r>
      <w:r w:rsidR="0093455D">
        <w:rPr>
          <w:rFonts w:ascii="Arial" w:hAnsi="Arial" w:cs="Arial"/>
          <w:lang w:eastAsia="es-MX"/>
        </w:rPr>
        <w:t>.</w:t>
      </w:r>
    </w:p>
    <w:p w:rsidR="0093455D" w:rsidRDefault="0093455D" w:rsidP="00B913B0">
      <w:pPr>
        <w:widowControl w:val="0"/>
        <w:kinsoku w:val="0"/>
        <w:overflowPunct w:val="0"/>
        <w:autoSpaceDE w:val="0"/>
        <w:autoSpaceDN w:val="0"/>
        <w:adjustRightInd w:val="0"/>
        <w:rPr>
          <w:rFonts w:ascii="Arial" w:hAnsi="Arial" w:cs="Arial"/>
          <w:lang w:eastAsia="es-MX"/>
        </w:rPr>
      </w:pPr>
    </w:p>
    <w:p w:rsidR="000A3D8C" w:rsidRPr="000A3D8C" w:rsidRDefault="0093455D" w:rsidP="000A3D8C">
      <w:pPr>
        <w:widowControl w:val="0"/>
        <w:kinsoku w:val="0"/>
        <w:overflowPunct w:val="0"/>
        <w:autoSpaceDE w:val="0"/>
        <w:autoSpaceDN w:val="0"/>
        <w:adjustRightInd w:val="0"/>
        <w:rPr>
          <w:rFonts w:ascii="Arial" w:hAnsi="Arial" w:cs="Arial"/>
          <w:lang w:eastAsia="es-MX"/>
        </w:rPr>
      </w:pPr>
      <w:r>
        <w:rPr>
          <w:rFonts w:ascii="Arial" w:hAnsi="Arial" w:cs="Arial"/>
          <w:lang w:eastAsia="es-MX"/>
        </w:rPr>
        <w:t>Esto es así porque a</w:t>
      </w:r>
      <w:r w:rsidR="000A3D8C">
        <w:rPr>
          <w:rFonts w:ascii="Arial" w:hAnsi="Arial" w:cs="Arial"/>
          <w:lang w:eastAsia="es-MX"/>
        </w:rPr>
        <w:t xml:space="preserve">l OPLE </w:t>
      </w:r>
      <w:r>
        <w:rPr>
          <w:rFonts w:ascii="Arial" w:hAnsi="Arial" w:cs="Arial"/>
          <w:lang w:eastAsia="es-MX"/>
        </w:rPr>
        <w:t xml:space="preserve">una persona </w:t>
      </w:r>
      <w:r w:rsidR="000A3D8C">
        <w:rPr>
          <w:rFonts w:ascii="Arial" w:hAnsi="Arial" w:cs="Arial"/>
          <w:lang w:eastAsia="es-MX"/>
        </w:rPr>
        <w:t>le había solicitado “</w:t>
      </w:r>
      <w:r w:rsidR="000A3D8C" w:rsidRPr="000A3D8C">
        <w:rPr>
          <w:rFonts w:ascii="Arial" w:hAnsi="Arial" w:cs="Arial"/>
          <w:lang w:eastAsia="es-MX"/>
        </w:rPr>
        <w:t>documentación con la que se acredite la propuesta conciliatoria con que el IEV / OPLEV haya presentado para ofrecimiento de un arreglo en los juicios laborales en los que sea parte actualmente, así como la correspondiente propuesta y los montos que ampara</w:t>
      </w:r>
      <w:r w:rsidR="000A3D8C">
        <w:rPr>
          <w:rFonts w:ascii="Arial" w:hAnsi="Arial" w:cs="Arial"/>
          <w:lang w:eastAsia="es-MX"/>
        </w:rPr>
        <w:t>”.</w:t>
      </w:r>
      <w:r w:rsidR="000A3D8C" w:rsidRPr="000A3D8C">
        <w:rPr>
          <w:rFonts w:ascii="Arial" w:hAnsi="Arial" w:cs="Arial"/>
          <w:lang w:eastAsia="es-MX"/>
        </w:rPr>
        <w:t xml:space="preserve">  </w:t>
      </w:r>
    </w:p>
    <w:p w:rsidR="00B913B0" w:rsidRDefault="00B913B0" w:rsidP="00B913B0">
      <w:pPr>
        <w:widowControl w:val="0"/>
        <w:kinsoku w:val="0"/>
        <w:overflowPunct w:val="0"/>
        <w:autoSpaceDE w:val="0"/>
        <w:autoSpaceDN w:val="0"/>
        <w:adjustRightInd w:val="0"/>
        <w:rPr>
          <w:rFonts w:ascii="Arial" w:hAnsi="Arial" w:cs="Arial"/>
          <w:lang w:eastAsia="es-MX"/>
        </w:rPr>
      </w:pPr>
    </w:p>
    <w:p w:rsidR="000A3D8C" w:rsidRDefault="000A3D8C" w:rsidP="00B913B0">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OPLE, a través del </w:t>
      </w:r>
      <w:r w:rsidRPr="000A3D8C">
        <w:rPr>
          <w:rFonts w:ascii="Arial" w:hAnsi="Arial" w:cs="Arial"/>
          <w:lang w:eastAsia="es-MX"/>
        </w:rPr>
        <w:t>Director Ejecutivo de Asuntos Jurídicos</w:t>
      </w:r>
      <w:r>
        <w:rPr>
          <w:rFonts w:ascii="Arial" w:hAnsi="Arial" w:cs="Arial"/>
          <w:lang w:eastAsia="es-MX"/>
        </w:rPr>
        <w:t>, previno al solicitante para que indicara a qué</w:t>
      </w:r>
      <w:r w:rsidRPr="000A3D8C">
        <w:rPr>
          <w:rFonts w:ascii="Arial" w:hAnsi="Arial" w:cs="Arial"/>
          <w:lang w:eastAsia="es-MX"/>
        </w:rPr>
        <w:t xml:space="preserve"> se </w:t>
      </w:r>
      <w:r>
        <w:rPr>
          <w:rFonts w:ascii="Arial" w:hAnsi="Arial" w:cs="Arial"/>
          <w:lang w:eastAsia="es-MX"/>
        </w:rPr>
        <w:t xml:space="preserve">refería </w:t>
      </w:r>
      <w:r w:rsidRPr="000A3D8C">
        <w:rPr>
          <w:rFonts w:ascii="Arial" w:hAnsi="Arial" w:cs="Arial"/>
          <w:lang w:eastAsia="es-MX"/>
        </w:rPr>
        <w:t xml:space="preserve">con </w:t>
      </w:r>
      <w:r>
        <w:rPr>
          <w:rFonts w:ascii="Arial" w:hAnsi="Arial" w:cs="Arial"/>
          <w:lang w:eastAsia="es-MX"/>
        </w:rPr>
        <w:t>lo solicitado, “</w:t>
      </w:r>
      <w:r w:rsidRPr="000A3D8C">
        <w:rPr>
          <w:rFonts w:ascii="Arial" w:hAnsi="Arial" w:cs="Arial"/>
          <w:lang w:eastAsia="es-MX"/>
        </w:rPr>
        <w:t>primero si se refiere al IEV u OPLE, O ambos, segundo, tiempo o fecha de la información solicitada</w:t>
      </w:r>
      <w:r>
        <w:rPr>
          <w:rFonts w:ascii="Arial" w:hAnsi="Arial" w:cs="Arial"/>
          <w:lang w:eastAsia="es-MX"/>
        </w:rPr>
        <w:t>”</w:t>
      </w:r>
      <w:r w:rsidRPr="000A3D8C">
        <w:rPr>
          <w:rFonts w:ascii="Arial" w:hAnsi="Arial" w:cs="Arial"/>
          <w:lang w:eastAsia="es-MX"/>
        </w:rPr>
        <w:t>.</w:t>
      </w:r>
    </w:p>
    <w:p w:rsidR="000A3D8C" w:rsidRDefault="000A3D8C" w:rsidP="00B913B0">
      <w:pPr>
        <w:widowControl w:val="0"/>
        <w:kinsoku w:val="0"/>
        <w:overflowPunct w:val="0"/>
        <w:autoSpaceDE w:val="0"/>
        <w:autoSpaceDN w:val="0"/>
        <w:adjustRightInd w:val="0"/>
        <w:rPr>
          <w:rFonts w:ascii="Arial" w:hAnsi="Arial" w:cs="Arial"/>
          <w:lang w:eastAsia="es-MX"/>
        </w:rPr>
      </w:pPr>
    </w:p>
    <w:p w:rsidR="000A3D8C" w:rsidRDefault="000329A7" w:rsidP="00B913B0">
      <w:pPr>
        <w:widowControl w:val="0"/>
        <w:kinsoku w:val="0"/>
        <w:overflowPunct w:val="0"/>
        <w:autoSpaceDE w:val="0"/>
        <w:autoSpaceDN w:val="0"/>
        <w:adjustRightInd w:val="0"/>
        <w:rPr>
          <w:rFonts w:ascii="Arial" w:hAnsi="Arial" w:cs="Arial"/>
          <w:lang w:eastAsia="es-MX"/>
        </w:rPr>
      </w:pPr>
      <w:r>
        <w:rPr>
          <w:rFonts w:ascii="Arial" w:hAnsi="Arial" w:cs="Arial"/>
          <w:lang w:eastAsia="es-MX"/>
        </w:rPr>
        <w:t>El peticionario</w:t>
      </w:r>
      <w:r w:rsidR="000A3D8C">
        <w:rPr>
          <w:rFonts w:ascii="Arial" w:hAnsi="Arial" w:cs="Arial"/>
          <w:lang w:eastAsia="es-MX"/>
        </w:rPr>
        <w:t xml:space="preserve"> cumplió con la prevención que le hizo el OPLE informándole que se refería </w:t>
      </w:r>
      <w:r w:rsidR="000A3D8C" w:rsidRPr="000A3D8C">
        <w:rPr>
          <w:rFonts w:ascii="Arial" w:hAnsi="Arial" w:cs="Arial"/>
          <w:lang w:eastAsia="es-MX"/>
        </w:rPr>
        <w:t xml:space="preserve">a ambos (IEV y/u OPLE) y a todos los juicios que </w:t>
      </w:r>
      <w:r w:rsidR="000A3D8C">
        <w:rPr>
          <w:rFonts w:ascii="Arial" w:hAnsi="Arial" w:cs="Arial"/>
          <w:lang w:eastAsia="es-MX"/>
        </w:rPr>
        <w:t xml:space="preserve">hubiesen </w:t>
      </w:r>
      <w:r w:rsidR="000A3D8C" w:rsidRPr="000A3D8C">
        <w:rPr>
          <w:rFonts w:ascii="Arial" w:hAnsi="Arial" w:cs="Arial"/>
          <w:lang w:eastAsia="es-MX"/>
        </w:rPr>
        <w:t xml:space="preserve">sido iniciados en </w:t>
      </w:r>
      <w:r w:rsidR="000A3D8C">
        <w:rPr>
          <w:rFonts w:ascii="Arial" w:hAnsi="Arial" w:cs="Arial"/>
          <w:lang w:eastAsia="es-MX"/>
        </w:rPr>
        <w:t xml:space="preserve">2015, </w:t>
      </w:r>
      <w:r w:rsidR="000A3D8C" w:rsidRPr="000A3D8C">
        <w:rPr>
          <w:rFonts w:ascii="Arial" w:hAnsi="Arial" w:cs="Arial"/>
          <w:lang w:eastAsia="es-MX"/>
        </w:rPr>
        <w:t>2016</w:t>
      </w:r>
      <w:r w:rsidR="000A3D8C">
        <w:rPr>
          <w:rFonts w:ascii="Arial" w:hAnsi="Arial" w:cs="Arial"/>
          <w:lang w:eastAsia="es-MX"/>
        </w:rPr>
        <w:t xml:space="preserve"> y </w:t>
      </w:r>
      <w:r w:rsidR="000A3D8C" w:rsidRPr="000A3D8C">
        <w:rPr>
          <w:rFonts w:ascii="Arial" w:hAnsi="Arial" w:cs="Arial"/>
          <w:lang w:eastAsia="es-MX"/>
        </w:rPr>
        <w:t>2017</w:t>
      </w:r>
      <w:r w:rsidR="000A3D8C">
        <w:rPr>
          <w:rFonts w:ascii="Arial" w:hAnsi="Arial" w:cs="Arial"/>
          <w:lang w:eastAsia="es-MX"/>
        </w:rPr>
        <w:t xml:space="preserve">; y recurrió al IVAI manifestando </w:t>
      </w:r>
      <w:r w:rsidR="000A3D8C" w:rsidRPr="000A3D8C">
        <w:rPr>
          <w:rFonts w:ascii="Arial" w:hAnsi="Arial" w:cs="Arial"/>
          <w:lang w:eastAsia="es-MX"/>
        </w:rPr>
        <w:t xml:space="preserve">que el sujeto </w:t>
      </w:r>
      <w:proofErr w:type="gramStart"/>
      <w:r w:rsidR="000A3D8C" w:rsidRPr="000A3D8C">
        <w:rPr>
          <w:rFonts w:ascii="Arial" w:hAnsi="Arial" w:cs="Arial"/>
          <w:lang w:eastAsia="es-MX"/>
        </w:rPr>
        <w:t>obligado</w:t>
      </w:r>
      <w:proofErr w:type="gramEnd"/>
      <w:r w:rsidR="000A3D8C" w:rsidRPr="000A3D8C">
        <w:rPr>
          <w:rFonts w:ascii="Arial" w:hAnsi="Arial" w:cs="Arial"/>
          <w:lang w:eastAsia="es-MX"/>
        </w:rPr>
        <w:t xml:space="preserve"> fue omiso en atender las solicitudes de acceso a la información y </w:t>
      </w:r>
      <w:r w:rsidR="000A3D8C">
        <w:rPr>
          <w:rFonts w:ascii="Arial" w:hAnsi="Arial" w:cs="Arial"/>
          <w:lang w:eastAsia="es-MX"/>
        </w:rPr>
        <w:t xml:space="preserve">que </w:t>
      </w:r>
      <w:r w:rsidR="000A3D8C" w:rsidRPr="000A3D8C">
        <w:rPr>
          <w:rFonts w:ascii="Arial" w:hAnsi="Arial" w:cs="Arial"/>
          <w:lang w:eastAsia="es-MX"/>
        </w:rPr>
        <w:t xml:space="preserve">únicamente requirió precisiones innecesarias fuera de los términos legales, lo que se </w:t>
      </w:r>
      <w:r w:rsidR="000A3D8C">
        <w:rPr>
          <w:rFonts w:ascii="Arial" w:hAnsi="Arial" w:cs="Arial"/>
          <w:lang w:eastAsia="es-MX"/>
        </w:rPr>
        <w:t xml:space="preserve">traducía </w:t>
      </w:r>
      <w:r w:rsidR="000A3D8C" w:rsidRPr="000A3D8C">
        <w:rPr>
          <w:rFonts w:ascii="Arial" w:hAnsi="Arial" w:cs="Arial"/>
          <w:lang w:eastAsia="es-MX"/>
        </w:rPr>
        <w:t xml:space="preserve">en negativas de acceso a la información.   </w:t>
      </w:r>
    </w:p>
    <w:p w:rsidR="000A3D8C" w:rsidRDefault="000A3D8C" w:rsidP="00B913B0">
      <w:pPr>
        <w:widowControl w:val="0"/>
        <w:kinsoku w:val="0"/>
        <w:overflowPunct w:val="0"/>
        <w:autoSpaceDE w:val="0"/>
        <w:autoSpaceDN w:val="0"/>
        <w:adjustRightInd w:val="0"/>
        <w:rPr>
          <w:rFonts w:ascii="Arial" w:hAnsi="Arial" w:cs="Arial"/>
          <w:lang w:eastAsia="es-MX"/>
        </w:rPr>
      </w:pPr>
    </w:p>
    <w:p w:rsidR="0093455D" w:rsidRDefault="00963BF2" w:rsidP="00B913B0">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Si bien en la </w:t>
      </w:r>
      <w:r w:rsidRPr="00963BF2">
        <w:rPr>
          <w:rFonts w:ascii="Arial" w:hAnsi="Arial" w:cs="Arial"/>
          <w:lang w:eastAsia="es-MX"/>
        </w:rPr>
        <w:t xml:space="preserve">Ley 875 de Transparencia </w:t>
      </w:r>
      <w:r>
        <w:rPr>
          <w:rFonts w:ascii="Arial" w:hAnsi="Arial" w:cs="Arial"/>
          <w:lang w:eastAsia="es-MX"/>
        </w:rPr>
        <w:t xml:space="preserve">de Veracruz </w:t>
      </w:r>
      <w:r w:rsidRPr="00963BF2">
        <w:rPr>
          <w:rFonts w:ascii="Arial" w:hAnsi="Arial" w:cs="Arial"/>
          <w:lang w:eastAsia="es-MX"/>
        </w:rPr>
        <w:t xml:space="preserve">no se aprecia una hipótesis </w:t>
      </w:r>
      <w:r>
        <w:rPr>
          <w:rFonts w:ascii="Arial" w:hAnsi="Arial" w:cs="Arial"/>
          <w:lang w:eastAsia="es-MX"/>
        </w:rPr>
        <w:t xml:space="preserve">que literalmente </w:t>
      </w:r>
      <w:r w:rsidRPr="00963BF2">
        <w:rPr>
          <w:rFonts w:ascii="Arial" w:hAnsi="Arial" w:cs="Arial"/>
          <w:lang w:eastAsia="es-MX"/>
        </w:rPr>
        <w:t xml:space="preserve">refiera </w:t>
      </w:r>
      <w:r w:rsidR="0093455D">
        <w:rPr>
          <w:rFonts w:ascii="Arial" w:hAnsi="Arial" w:cs="Arial"/>
          <w:lang w:eastAsia="es-MX"/>
        </w:rPr>
        <w:t xml:space="preserve">que se puede presentar </w:t>
      </w:r>
      <w:r w:rsidRPr="00963BF2">
        <w:rPr>
          <w:rFonts w:ascii="Arial" w:hAnsi="Arial" w:cs="Arial"/>
          <w:lang w:eastAsia="es-MX"/>
        </w:rPr>
        <w:t>recurso de revisión en contra de la indebida prevención que notifiquen los sujetos obligados</w:t>
      </w:r>
      <w:r>
        <w:rPr>
          <w:rFonts w:ascii="Arial" w:hAnsi="Arial" w:cs="Arial"/>
          <w:lang w:eastAsia="es-MX"/>
        </w:rPr>
        <w:t xml:space="preserve">, los comisionados Yolli García Alvarez y José Rubén Mendoza Hernández realizaron una </w:t>
      </w:r>
      <w:r w:rsidRPr="00963BF2">
        <w:rPr>
          <w:rFonts w:ascii="Arial" w:hAnsi="Arial" w:cs="Arial"/>
          <w:lang w:eastAsia="es-MX"/>
        </w:rPr>
        <w:t>interpretación de la norma</w:t>
      </w:r>
      <w:r>
        <w:rPr>
          <w:rFonts w:ascii="Arial" w:hAnsi="Arial" w:cs="Arial"/>
          <w:lang w:eastAsia="es-MX"/>
        </w:rPr>
        <w:t xml:space="preserve"> basados en </w:t>
      </w:r>
      <w:r w:rsidRPr="00963BF2">
        <w:rPr>
          <w:rFonts w:ascii="Arial" w:hAnsi="Arial" w:cs="Arial"/>
          <w:lang w:eastAsia="es-MX"/>
        </w:rPr>
        <w:t xml:space="preserve">el principio de </w:t>
      </w:r>
      <w:r w:rsidR="005D20F7">
        <w:rPr>
          <w:rFonts w:ascii="Arial" w:hAnsi="Arial" w:cs="Arial"/>
          <w:lang w:eastAsia="es-MX"/>
        </w:rPr>
        <w:t>que esta sea</w:t>
      </w:r>
      <w:r>
        <w:rPr>
          <w:rFonts w:ascii="Arial" w:hAnsi="Arial" w:cs="Arial"/>
          <w:lang w:eastAsia="es-MX"/>
        </w:rPr>
        <w:t xml:space="preserve"> más favorable a la persona</w:t>
      </w:r>
      <w:r w:rsidR="0093455D">
        <w:rPr>
          <w:rFonts w:ascii="Arial" w:hAnsi="Arial" w:cs="Arial"/>
          <w:lang w:eastAsia="es-MX"/>
        </w:rPr>
        <w:t>.</w:t>
      </w:r>
    </w:p>
    <w:p w:rsidR="0093455D" w:rsidRDefault="0093455D" w:rsidP="00B913B0">
      <w:pPr>
        <w:widowControl w:val="0"/>
        <w:kinsoku w:val="0"/>
        <w:overflowPunct w:val="0"/>
        <w:autoSpaceDE w:val="0"/>
        <w:autoSpaceDN w:val="0"/>
        <w:adjustRightInd w:val="0"/>
        <w:rPr>
          <w:rFonts w:ascii="Arial" w:hAnsi="Arial" w:cs="Arial"/>
          <w:lang w:eastAsia="es-MX"/>
        </w:rPr>
      </w:pPr>
    </w:p>
    <w:p w:rsidR="004401D8" w:rsidRDefault="000329A7" w:rsidP="000329A7">
      <w:pPr>
        <w:widowControl w:val="0"/>
        <w:kinsoku w:val="0"/>
        <w:overflowPunct w:val="0"/>
        <w:autoSpaceDE w:val="0"/>
        <w:autoSpaceDN w:val="0"/>
        <w:adjustRightInd w:val="0"/>
        <w:rPr>
          <w:rFonts w:ascii="Arial" w:hAnsi="Arial" w:cs="Arial"/>
          <w:lang w:eastAsia="es-MX"/>
        </w:rPr>
      </w:pPr>
      <w:r>
        <w:rPr>
          <w:rFonts w:ascii="Arial" w:hAnsi="Arial" w:cs="Arial"/>
          <w:lang w:eastAsia="es-MX"/>
        </w:rPr>
        <w:t>Si bien l</w:t>
      </w:r>
      <w:r w:rsidR="004401D8">
        <w:rPr>
          <w:rFonts w:ascii="Arial" w:hAnsi="Arial" w:cs="Arial"/>
          <w:lang w:eastAsia="es-MX"/>
        </w:rPr>
        <w:t xml:space="preserve">a prevención solo opera </w:t>
      </w:r>
      <w:r w:rsidR="004401D8" w:rsidRPr="004401D8">
        <w:rPr>
          <w:rFonts w:ascii="Arial" w:hAnsi="Arial" w:cs="Arial"/>
          <w:lang w:eastAsia="es-MX"/>
        </w:rPr>
        <w:t xml:space="preserve">cuando la solicitud </w:t>
      </w:r>
      <w:r>
        <w:rPr>
          <w:rFonts w:ascii="Arial" w:hAnsi="Arial" w:cs="Arial"/>
          <w:lang w:eastAsia="es-MX"/>
        </w:rPr>
        <w:t xml:space="preserve">contiene </w:t>
      </w:r>
      <w:r w:rsidR="004401D8" w:rsidRPr="004401D8">
        <w:rPr>
          <w:rFonts w:ascii="Arial" w:hAnsi="Arial" w:cs="Arial"/>
          <w:lang w:eastAsia="es-MX"/>
        </w:rPr>
        <w:t>datos insuficientes o erróneos</w:t>
      </w:r>
      <w:r>
        <w:rPr>
          <w:rFonts w:ascii="Arial" w:hAnsi="Arial" w:cs="Arial"/>
          <w:lang w:eastAsia="es-MX"/>
        </w:rPr>
        <w:t xml:space="preserve"> y</w:t>
      </w:r>
      <w:r w:rsidR="004401D8" w:rsidRPr="004401D8">
        <w:rPr>
          <w:rFonts w:ascii="Arial" w:hAnsi="Arial" w:cs="Arial"/>
          <w:lang w:eastAsia="es-MX"/>
        </w:rPr>
        <w:t xml:space="preserve"> </w:t>
      </w:r>
      <w:r w:rsidR="004401D8">
        <w:rPr>
          <w:rFonts w:ascii="Arial" w:hAnsi="Arial" w:cs="Arial"/>
          <w:lang w:eastAsia="es-MX"/>
        </w:rPr>
        <w:t xml:space="preserve">el </w:t>
      </w:r>
      <w:r w:rsidR="004401D8" w:rsidRPr="004401D8">
        <w:rPr>
          <w:rFonts w:ascii="Arial" w:hAnsi="Arial" w:cs="Arial"/>
          <w:lang w:eastAsia="es-MX"/>
        </w:rPr>
        <w:t>incumplimiento tiene</w:t>
      </w:r>
      <w:bookmarkStart w:id="0" w:name="_GoBack"/>
      <w:bookmarkEnd w:id="0"/>
      <w:r w:rsidR="004401D8" w:rsidRPr="004401D8">
        <w:rPr>
          <w:rFonts w:ascii="Arial" w:hAnsi="Arial" w:cs="Arial"/>
          <w:lang w:eastAsia="es-MX"/>
        </w:rPr>
        <w:t xml:space="preserve"> como consecuencia el </w:t>
      </w:r>
      <w:proofErr w:type="spellStart"/>
      <w:r w:rsidR="004401D8" w:rsidRPr="004401D8">
        <w:rPr>
          <w:rFonts w:ascii="Arial" w:hAnsi="Arial" w:cs="Arial"/>
          <w:lang w:eastAsia="es-MX"/>
        </w:rPr>
        <w:t>desechamiento</w:t>
      </w:r>
      <w:proofErr w:type="spellEnd"/>
      <w:r w:rsidR="004401D8" w:rsidRPr="004401D8">
        <w:rPr>
          <w:rFonts w:ascii="Arial" w:hAnsi="Arial" w:cs="Arial"/>
          <w:lang w:eastAsia="es-MX"/>
        </w:rPr>
        <w:t xml:space="preserve"> de la solicitud de información</w:t>
      </w:r>
      <w:r>
        <w:rPr>
          <w:rFonts w:ascii="Arial" w:hAnsi="Arial" w:cs="Arial"/>
          <w:lang w:eastAsia="es-MX"/>
        </w:rPr>
        <w:t xml:space="preserve">, </w:t>
      </w:r>
      <w:r w:rsidR="004401D8">
        <w:rPr>
          <w:rFonts w:ascii="Arial" w:hAnsi="Arial" w:cs="Arial"/>
          <w:lang w:eastAsia="es-MX"/>
        </w:rPr>
        <w:t xml:space="preserve">los comisionados establecieron que </w:t>
      </w:r>
      <w:r w:rsidR="004401D8" w:rsidRPr="004401D8">
        <w:rPr>
          <w:rFonts w:ascii="Arial" w:hAnsi="Arial" w:cs="Arial"/>
          <w:lang w:eastAsia="es-MX"/>
        </w:rPr>
        <w:t xml:space="preserve">cuando se realiza una prevención o requerimiento fuera de </w:t>
      </w:r>
      <w:r w:rsidR="004401D8">
        <w:rPr>
          <w:rFonts w:ascii="Arial" w:hAnsi="Arial" w:cs="Arial"/>
          <w:lang w:eastAsia="es-MX"/>
        </w:rPr>
        <w:t xml:space="preserve">estos </w:t>
      </w:r>
      <w:r w:rsidR="004401D8" w:rsidRPr="004401D8">
        <w:rPr>
          <w:rFonts w:ascii="Arial" w:hAnsi="Arial" w:cs="Arial"/>
          <w:lang w:eastAsia="es-MX"/>
        </w:rPr>
        <w:t xml:space="preserve">dos supuestos </w:t>
      </w:r>
      <w:r w:rsidR="004401D8">
        <w:rPr>
          <w:rFonts w:ascii="Arial" w:hAnsi="Arial" w:cs="Arial"/>
          <w:lang w:eastAsia="es-MX"/>
        </w:rPr>
        <w:t xml:space="preserve">se vulnera </w:t>
      </w:r>
      <w:r w:rsidR="004401D8" w:rsidRPr="004401D8">
        <w:rPr>
          <w:rFonts w:ascii="Arial" w:hAnsi="Arial" w:cs="Arial"/>
          <w:lang w:eastAsia="es-MX"/>
        </w:rPr>
        <w:t xml:space="preserve">el principio de expeditez </w:t>
      </w:r>
      <w:r w:rsidR="004401D8">
        <w:rPr>
          <w:rFonts w:ascii="Arial" w:hAnsi="Arial" w:cs="Arial"/>
          <w:lang w:eastAsia="es-MX"/>
        </w:rPr>
        <w:t>que señala la norma</w:t>
      </w:r>
      <w:r>
        <w:rPr>
          <w:rFonts w:ascii="Arial" w:hAnsi="Arial" w:cs="Arial"/>
          <w:lang w:eastAsia="es-MX"/>
        </w:rPr>
        <w:t xml:space="preserve">. </w:t>
      </w:r>
      <w:r w:rsidR="000C3B33">
        <w:rPr>
          <w:rFonts w:ascii="Arial" w:hAnsi="Arial" w:cs="Arial"/>
          <w:lang w:eastAsia="es-MX"/>
        </w:rPr>
        <w:t xml:space="preserve">Lo que resulta acorde con lo sostenido por los órganos del </w:t>
      </w:r>
      <w:r w:rsidR="000C3B33" w:rsidRPr="000C3B33">
        <w:rPr>
          <w:rFonts w:ascii="Arial" w:hAnsi="Arial" w:cs="Arial"/>
          <w:lang w:eastAsia="es-MX"/>
        </w:rPr>
        <w:t xml:space="preserve">Poder Judicial de la Federación en el sentido </w:t>
      </w:r>
      <w:r w:rsidR="000C3B33">
        <w:rPr>
          <w:rFonts w:ascii="Arial" w:hAnsi="Arial" w:cs="Arial"/>
          <w:lang w:eastAsia="es-MX"/>
        </w:rPr>
        <w:t>de</w:t>
      </w:r>
      <w:r w:rsidR="000C3B33" w:rsidRPr="000C3B33">
        <w:rPr>
          <w:rFonts w:ascii="Arial" w:hAnsi="Arial" w:cs="Arial"/>
          <w:lang w:eastAsia="es-MX"/>
        </w:rPr>
        <w:t xml:space="preserve"> prescindir de formulismos innecesarios que impidan acceder libremente y de forma pronta a la administración de justicia solicitada</w:t>
      </w:r>
      <w:r w:rsidR="000C3B33">
        <w:rPr>
          <w:rFonts w:ascii="Arial" w:hAnsi="Arial" w:cs="Arial"/>
          <w:lang w:eastAsia="es-MX"/>
        </w:rPr>
        <w:t>.</w:t>
      </w:r>
    </w:p>
    <w:p w:rsidR="007E3E5F" w:rsidRDefault="007E3E5F" w:rsidP="00981D39">
      <w:pPr>
        <w:rPr>
          <w:rFonts w:ascii="Arial" w:hAnsi="Arial" w:cs="Arial"/>
          <w:lang w:eastAsia="es-MX"/>
        </w:rPr>
      </w:pPr>
    </w:p>
    <w:p w:rsidR="002F6E14" w:rsidRDefault="000329A7" w:rsidP="00981D39">
      <w:pPr>
        <w:rPr>
          <w:rFonts w:ascii="Arial" w:hAnsi="Arial" w:cs="Arial"/>
          <w:lang w:eastAsia="es-MX"/>
        </w:rPr>
      </w:pPr>
      <w:r>
        <w:rPr>
          <w:rFonts w:ascii="Arial" w:hAnsi="Arial" w:cs="Arial"/>
          <w:lang w:eastAsia="es-MX"/>
        </w:rPr>
        <w:lastRenderedPageBreak/>
        <w:t>Este r</w:t>
      </w:r>
      <w:r w:rsidR="002F6E14" w:rsidRPr="002F6E14">
        <w:rPr>
          <w:rFonts w:ascii="Arial" w:hAnsi="Arial" w:cs="Arial"/>
          <w:lang w:eastAsia="es-MX"/>
        </w:rPr>
        <w:t xml:space="preserve">azonamiento </w:t>
      </w:r>
      <w:r>
        <w:rPr>
          <w:rFonts w:ascii="Arial" w:hAnsi="Arial" w:cs="Arial"/>
          <w:lang w:eastAsia="es-MX"/>
        </w:rPr>
        <w:t>aplicó</w:t>
      </w:r>
      <w:r w:rsidR="002F6E14">
        <w:rPr>
          <w:rFonts w:ascii="Arial" w:hAnsi="Arial" w:cs="Arial"/>
          <w:lang w:eastAsia="es-MX"/>
        </w:rPr>
        <w:t xml:space="preserve"> en </w:t>
      </w:r>
      <w:r>
        <w:rPr>
          <w:rFonts w:ascii="Arial" w:hAnsi="Arial" w:cs="Arial"/>
          <w:lang w:eastAsia="es-MX"/>
        </w:rPr>
        <w:t xml:space="preserve">este </w:t>
      </w:r>
      <w:r w:rsidR="002F6E14">
        <w:rPr>
          <w:rFonts w:ascii="Arial" w:hAnsi="Arial" w:cs="Arial"/>
          <w:lang w:eastAsia="es-MX"/>
        </w:rPr>
        <w:t xml:space="preserve">caso ya que </w:t>
      </w:r>
      <w:r w:rsidR="002F6E14" w:rsidRPr="002F6E14">
        <w:rPr>
          <w:rFonts w:ascii="Arial" w:hAnsi="Arial" w:cs="Arial"/>
          <w:lang w:eastAsia="es-MX"/>
        </w:rPr>
        <w:t>la sigla IEV (Instituto Electoral Veracruzano) corresponde a la utilizada antes de la reforma constitucional que dio origen a los OPLE (Organismos</w:t>
      </w:r>
      <w:r w:rsidR="002F6E14">
        <w:rPr>
          <w:rFonts w:ascii="Arial" w:hAnsi="Arial" w:cs="Arial"/>
          <w:lang w:eastAsia="es-MX"/>
        </w:rPr>
        <w:t xml:space="preserve"> Públicos Locales Electorales), por lo que la </w:t>
      </w:r>
      <w:r w:rsidR="002F6E14" w:rsidRPr="002F6E14">
        <w:rPr>
          <w:rFonts w:ascii="Arial" w:hAnsi="Arial" w:cs="Arial"/>
          <w:lang w:eastAsia="es-MX"/>
        </w:rPr>
        <w:t>aparente contradicción al señalarse conjuntamente “IEV” y “actualmente”</w:t>
      </w:r>
      <w:r w:rsidR="002F6E14">
        <w:rPr>
          <w:rFonts w:ascii="Arial" w:hAnsi="Arial" w:cs="Arial"/>
          <w:lang w:eastAsia="es-MX"/>
        </w:rPr>
        <w:t xml:space="preserve"> </w:t>
      </w:r>
      <w:r w:rsidR="002F6E14" w:rsidRPr="002F6E14">
        <w:rPr>
          <w:rFonts w:ascii="Arial" w:hAnsi="Arial" w:cs="Arial"/>
          <w:lang w:eastAsia="es-MX"/>
        </w:rPr>
        <w:t xml:space="preserve">era insuficiente para que el </w:t>
      </w:r>
      <w:r w:rsidR="002F6E14">
        <w:rPr>
          <w:rFonts w:ascii="Arial" w:hAnsi="Arial" w:cs="Arial"/>
          <w:lang w:eastAsia="es-MX"/>
        </w:rPr>
        <w:t>d</w:t>
      </w:r>
      <w:r w:rsidR="002F6E14" w:rsidRPr="002F6E14">
        <w:rPr>
          <w:rFonts w:ascii="Arial" w:hAnsi="Arial" w:cs="Arial"/>
          <w:lang w:eastAsia="es-MX"/>
        </w:rPr>
        <w:t xml:space="preserve">irector </w:t>
      </w:r>
      <w:r>
        <w:rPr>
          <w:rFonts w:ascii="Arial" w:hAnsi="Arial" w:cs="Arial"/>
          <w:lang w:eastAsia="es-MX"/>
        </w:rPr>
        <w:t>e</w:t>
      </w:r>
      <w:r w:rsidR="002F6E14" w:rsidRPr="002F6E14">
        <w:rPr>
          <w:rFonts w:ascii="Arial" w:hAnsi="Arial" w:cs="Arial"/>
          <w:lang w:eastAsia="es-MX"/>
        </w:rPr>
        <w:t xml:space="preserve">jecutivo de Asuntos Jurídicos del </w:t>
      </w:r>
      <w:r w:rsidR="002F6E14">
        <w:rPr>
          <w:rFonts w:ascii="Arial" w:hAnsi="Arial" w:cs="Arial"/>
          <w:lang w:eastAsia="es-MX"/>
        </w:rPr>
        <w:t xml:space="preserve">OPLE </w:t>
      </w:r>
      <w:r w:rsidR="002F6E14" w:rsidRPr="002F6E14">
        <w:rPr>
          <w:rFonts w:ascii="Arial" w:hAnsi="Arial" w:cs="Arial"/>
          <w:lang w:eastAsia="es-MX"/>
        </w:rPr>
        <w:t>hubiese obstaculizado el trámite de la solicitud de informació</w:t>
      </w:r>
      <w:r w:rsidR="002F6E14">
        <w:rPr>
          <w:rFonts w:ascii="Arial" w:hAnsi="Arial" w:cs="Arial"/>
          <w:lang w:eastAsia="es-MX"/>
        </w:rPr>
        <w:t>n.</w:t>
      </w:r>
    </w:p>
    <w:p w:rsidR="002F6E14" w:rsidRDefault="002F6E14" w:rsidP="00981D39">
      <w:pPr>
        <w:rPr>
          <w:rFonts w:ascii="Arial" w:hAnsi="Arial" w:cs="Arial"/>
          <w:lang w:eastAsia="es-MX"/>
        </w:rPr>
      </w:pPr>
    </w:p>
    <w:p w:rsidR="007F5CFC" w:rsidRDefault="007F5CFC" w:rsidP="00981D39">
      <w:pPr>
        <w:rPr>
          <w:rFonts w:ascii="Arial" w:hAnsi="Arial" w:cs="Arial"/>
          <w:lang w:eastAsia="es-MX"/>
        </w:rPr>
      </w:pPr>
      <w:r w:rsidRPr="007F5CFC">
        <w:rPr>
          <w:rFonts w:ascii="Arial" w:hAnsi="Arial" w:cs="Arial"/>
          <w:lang w:eastAsia="es-MX"/>
        </w:rPr>
        <w:t xml:space="preserve">Respecto de la </w:t>
      </w:r>
      <w:r>
        <w:rPr>
          <w:rFonts w:ascii="Arial" w:hAnsi="Arial" w:cs="Arial"/>
          <w:lang w:eastAsia="es-MX"/>
        </w:rPr>
        <w:t xml:space="preserve">duda sobre la </w:t>
      </w:r>
      <w:r w:rsidRPr="007F5CFC">
        <w:rPr>
          <w:rFonts w:ascii="Arial" w:hAnsi="Arial" w:cs="Arial"/>
          <w:lang w:eastAsia="es-MX"/>
        </w:rPr>
        <w:t>temporalidad</w:t>
      </w:r>
      <w:r>
        <w:rPr>
          <w:rFonts w:ascii="Arial" w:hAnsi="Arial" w:cs="Arial"/>
          <w:lang w:eastAsia="es-MX"/>
        </w:rPr>
        <w:t>,</w:t>
      </w:r>
      <w:r w:rsidRPr="007F5CFC">
        <w:rPr>
          <w:rFonts w:ascii="Arial" w:hAnsi="Arial" w:cs="Arial"/>
          <w:lang w:eastAsia="es-MX"/>
        </w:rPr>
        <w:t xml:space="preserve"> tampoco </w:t>
      </w:r>
      <w:r>
        <w:rPr>
          <w:rFonts w:ascii="Arial" w:hAnsi="Arial" w:cs="Arial"/>
          <w:lang w:eastAsia="es-MX"/>
        </w:rPr>
        <w:t xml:space="preserve">era </w:t>
      </w:r>
      <w:r w:rsidRPr="007F5CFC">
        <w:rPr>
          <w:rFonts w:ascii="Arial" w:hAnsi="Arial" w:cs="Arial"/>
          <w:lang w:eastAsia="es-MX"/>
        </w:rPr>
        <w:t xml:space="preserve">suficiente para retrasar el acceso puesto que </w:t>
      </w:r>
      <w:r w:rsidR="004807D1">
        <w:rPr>
          <w:rFonts w:ascii="Arial" w:hAnsi="Arial" w:cs="Arial"/>
          <w:lang w:eastAsia="es-MX"/>
        </w:rPr>
        <w:t>a</w:t>
      </w:r>
      <w:r w:rsidRPr="007F5CFC">
        <w:rPr>
          <w:rFonts w:ascii="Arial" w:hAnsi="Arial" w:cs="Arial"/>
          <w:lang w:eastAsia="es-MX"/>
        </w:rPr>
        <w:t>l señalar el solicitante que lo requerido era del IEV/OPLE era claro que se refería a las propuestas conciliatorias que hubiera realizado en cualquier juicio en los que actualmente fuere parte, tanto el IEV, como el OPLE y en las que aún no se dictara resolución o se realizara convenio que pusiera fin al conflicto laboral.</w:t>
      </w:r>
    </w:p>
    <w:p w:rsidR="004807D1" w:rsidRDefault="004807D1" w:rsidP="00981D39">
      <w:pPr>
        <w:rPr>
          <w:rFonts w:ascii="Arial" w:hAnsi="Arial" w:cs="Arial"/>
          <w:lang w:eastAsia="es-MX"/>
        </w:rPr>
      </w:pPr>
    </w:p>
    <w:p w:rsidR="004807D1" w:rsidRDefault="004807D1" w:rsidP="00981D39">
      <w:pPr>
        <w:rPr>
          <w:rFonts w:ascii="Arial" w:hAnsi="Arial" w:cs="Arial"/>
          <w:lang w:eastAsia="es-MX"/>
        </w:rPr>
      </w:pPr>
      <w:r>
        <w:rPr>
          <w:rFonts w:ascii="Arial" w:hAnsi="Arial" w:cs="Arial"/>
          <w:lang w:eastAsia="es-MX"/>
        </w:rPr>
        <w:t xml:space="preserve">Por tanto, el IVAI instó </w:t>
      </w:r>
      <w:r w:rsidRPr="004807D1">
        <w:rPr>
          <w:rFonts w:ascii="Arial" w:hAnsi="Arial" w:cs="Arial"/>
          <w:lang w:eastAsia="es-MX"/>
        </w:rPr>
        <w:t xml:space="preserve">a </w:t>
      </w:r>
      <w:r>
        <w:rPr>
          <w:rFonts w:ascii="Arial" w:hAnsi="Arial" w:cs="Arial"/>
          <w:lang w:eastAsia="es-MX"/>
        </w:rPr>
        <w:t>l</w:t>
      </w:r>
      <w:r w:rsidRPr="004807D1">
        <w:rPr>
          <w:rFonts w:ascii="Arial" w:hAnsi="Arial" w:cs="Arial"/>
          <w:lang w:eastAsia="es-MX"/>
        </w:rPr>
        <w:t xml:space="preserve">a </w:t>
      </w:r>
      <w:r>
        <w:rPr>
          <w:rFonts w:ascii="Arial" w:hAnsi="Arial" w:cs="Arial"/>
          <w:lang w:eastAsia="es-MX"/>
        </w:rPr>
        <w:t>e</w:t>
      </w:r>
      <w:r w:rsidRPr="004807D1">
        <w:rPr>
          <w:rFonts w:ascii="Arial" w:hAnsi="Arial" w:cs="Arial"/>
          <w:lang w:eastAsia="es-MX"/>
        </w:rPr>
        <w:t>ncargada de l</w:t>
      </w:r>
      <w:r>
        <w:rPr>
          <w:rFonts w:ascii="Arial" w:hAnsi="Arial" w:cs="Arial"/>
          <w:lang w:eastAsia="es-MX"/>
        </w:rPr>
        <w:t>a Unidad de Transparencia y al d</w:t>
      </w:r>
      <w:r w:rsidRPr="004807D1">
        <w:rPr>
          <w:rFonts w:ascii="Arial" w:hAnsi="Arial" w:cs="Arial"/>
          <w:lang w:eastAsia="es-MX"/>
        </w:rPr>
        <w:t xml:space="preserve">irector de Asuntos Jurídicos para que eviten realizar prevenciones innecesarias a las solicitudes de información que presenten los particulares.  </w:t>
      </w:r>
    </w:p>
    <w:p w:rsidR="004807D1" w:rsidRDefault="004807D1" w:rsidP="00981D39">
      <w:pPr>
        <w:rPr>
          <w:rFonts w:ascii="Arial" w:hAnsi="Arial" w:cs="Arial"/>
          <w:lang w:eastAsia="es-MX"/>
        </w:rPr>
      </w:pPr>
    </w:p>
    <w:p w:rsidR="007E3E5F" w:rsidRDefault="004807D1" w:rsidP="00981D39">
      <w:pPr>
        <w:rPr>
          <w:rFonts w:ascii="Arial" w:hAnsi="Arial" w:cs="Arial"/>
          <w:lang w:eastAsia="es-MX"/>
        </w:rPr>
      </w:pPr>
      <w:r>
        <w:rPr>
          <w:rFonts w:ascii="Arial" w:hAnsi="Arial" w:cs="Arial"/>
          <w:lang w:eastAsia="es-MX"/>
        </w:rPr>
        <w:t xml:space="preserve">En cuanto a lo solicitado, si bien posteriormente el OPLE dio respuesta al solicitante, esta fue incompleta, pues </w:t>
      </w:r>
      <w:r w:rsidRPr="004807D1">
        <w:rPr>
          <w:rFonts w:ascii="Arial" w:hAnsi="Arial" w:cs="Arial"/>
          <w:lang w:eastAsia="es-MX"/>
        </w:rPr>
        <w:t xml:space="preserve">clasificó como de acceso restringido parte de la información sin que </w:t>
      </w:r>
      <w:r>
        <w:rPr>
          <w:rFonts w:ascii="Arial" w:hAnsi="Arial" w:cs="Arial"/>
          <w:lang w:eastAsia="es-MX"/>
        </w:rPr>
        <w:t xml:space="preserve">al peticionario se le </w:t>
      </w:r>
      <w:r w:rsidRPr="004807D1">
        <w:rPr>
          <w:rFonts w:ascii="Arial" w:hAnsi="Arial" w:cs="Arial"/>
          <w:lang w:eastAsia="es-MX"/>
        </w:rPr>
        <w:t xml:space="preserve">hubiese </w:t>
      </w:r>
      <w:r>
        <w:rPr>
          <w:rFonts w:ascii="Arial" w:hAnsi="Arial" w:cs="Arial"/>
          <w:lang w:eastAsia="es-MX"/>
        </w:rPr>
        <w:t xml:space="preserve">notificado el acuerdo de clasificación del Comité de Transparencia; por lo que los comisionados </w:t>
      </w:r>
      <w:r w:rsidRPr="004807D1">
        <w:rPr>
          <w:rFonts w:ascii="Arial" w:hAnsi="Arial" w:cs="Arial"/>
          <w:lang w:eastAsia="es-MX"/>
        </w:rPr>
        <w:t>insta</w:t>
      </w:r>
      <w:r>
        <w:rPr>
          <w:rFonts w:ascii="Arial" w:hAnsi="Arial" w:cs="Arial"/>
          <w:lang w:eastAsia="es-MX"/>
        </w:rPr>
        <w:t>ron</w:t>
      </w:r>
      <w:r w:rsidRPr="004807D1">
        <w:rPr>
          <w:rFonts w:ascii="Arial" w:hAnsi="Arial" w:cs="Arial"/>
          <w:lang w:eastAsia="es-MX"/>
        </w:rPr>
        <w:t xml:space="preserve"> nuevamente a la </w:t>
      </w:r>
      <w:r>
        <w:rPr>
          <w:rFonts w:ascii="Arial" w:hAnsi="Arial" w:cs="Arial"/>
          <w:lang w:eastAsia="es-MX"/>
        </w:rPr>
        <w:t>e</w:t>
      </w:r>
      <w:r w:rsidRPr="004807D1">
        <w:rPr>
          <w:rFonts w:ascii="Arial" w:hAnsi="Arial" w:cs="Arial"/>
          <w:lang w:eastAsia="es-MX"/>
        </w:rPr>
        <w:t xml:space="preserve">ncargada de la Unidad de Transparencia para que en sucesivas ocasiones </w:t>
      </w:r>
      <w:r>
        <w:rPr>
          <w:rFonts w:ascii="Arial" w:hAnsi="Arial" w:cs="Arial"/>
          <w:lang w:eastAsia="es-MX"/>
        </w:rPr>
        <w:t xml:space="preserve">remita </w:t>
      </w:r>
      <w:r w:rsidRPr="004807D1">
        <w:rPr>
          <w:rFonts w:ascii="Arial" w:hAnsi="Arial" w:cs="Arial"/>
          <w:lang w:eastAsia="es-MX"/>
        </w:rPr>
        <w:t>los acuerdos del Comité junto con</w:t>
      </w:r>
      <w:r>
        <w:rPr>
          <w:rFonts w:ascii="Arial" w:hAnsi="Arial" w:cs="Arial"/>
          <w:lang w:eastAsia="es-MX"/>
        </w:rPr>
        <w:t xml:space="preserve"> las respuestas que proporcione. </w:t>
      </w:r>
    </w:p>
    <w:p w:rsidR="009041EB" w:rsidRDefault="009041EB" w:rsidP="00981D39">
      <w:pPr>
        <w:rPr>
          <w:rFonts w:ascii="Arial" w:hAnsi="Arial" w:cs="Arial"/>
          <w:lang w:eastAsia="es-MX"/>
        </w:rPr>
      </w:pPr>
    </w:p>
    <w:p w:rsidR="009041EB" w:rsidRDefault="009041EB" w:rsidP="00981D39">
      <w:pPr>
        <w:rPr>
          <w:rFonts w:ascii="Arial" w:hAnsi="Arial" w:cs="Arial"/>
          <w:lang w:eastAsia="es-MX"/>
        </w:rPr>
      </w:pPr>
      <w:r>
        <w:rPr>
          <w:rFonts w:ascii="Arial" w:hAnsi="Arial" w:cs="Arial"/>
          <w:lang w:eastAsia="es-MX"/>
        </w:rPr>
        <w:t xml:space="preserve">Por otro lado, </w:t>
      </w:r>
      <w:r w:rsidR="000329A7">
        <w:rPr>
          <w:rFonts w:ascii="Arial" w:hAnsi="Arial" w:cs="Arial"/>
          <w:lang w:eastAsia="es-MX"/>
        </w:rPr>
        <w:t>tampoco se advirtió</w:t>
      </w:r>
      <w:r w:rsidRPr="009041EB">
        <w:rPr>
          <w:rFonts w:ascii="Arial" w:hAnsi="Arial" w:cs="Arial"/>
          <w:lang w:eastAsia="es-MX"/>
        </w:rPr>
        <w:t xml:space="preserve"> que se </w:t>
      </w:r>
      <w:r w:rsidR="000329A7">
        <w:rPr>
          <w:rFonts w:ascii="Arial" w:hAnsi="Arial" w:cs="Arial"/>
          <w:lang w:eastAsia="es-MX"/>
        </w:rPr>
        <w:t>hubiese proporcionado</w:t>
      </w:r>
      <w:r w:rsidRPr="009041EB">
        <w:rPr>
          <w:rFonts w:ascii="Arial" w:hAnsi="Arial" w:cs="Arial"/>
          <w:lang w:eastAsia="es-MX"/>
        </w:rPr>
        <w:t xml:space="preserve"> la información requerida, </w:t>
      </w:r>
      <w:r>
        <w:rPr>
          <w:rFonts w:ascii="Arial" w:hAnsi="Arial" w:cs="Arial"/>
          <w:lang w:eastAsia="es-MX"/>
        </w:rPr>
        <w:t>pues</w:t>
      </w:r>
      <w:r w:rsidRPr="009041EB">
        <w:rPr>
          <w:rFonts w:ascii="Arial" w:hAnsi="Arial" w:cs="Arial"/>
          <w:lang w:eastAsia="es-MX"/>
        </w:rPr>
        <w:t xml:space="preserve"> </w:t>
      </w:r>
      <w:r>
        <w:rPr>
          <w:rFonts w:ascii="Arial" w:hAnsi="Arial" w:cs="Arial"/>
          <w:lang w:eastAsia="es-MX"/>
        </w:rPr>
        <w:t xml:space="preserve">no </w:t>
      </w:r>
      <w:r w:rsidRPr="009041EB">
        <w:rPr>
          <w:rFonts w:ascii="Arial" w:hAnsi="Arial" w:cs="Arial"/>
          <w:lang w:eastAsia="es-MX"/>
        </w:rPr>
        <w:t xml:space="preserve">mencionó ni anexó documento alguno únicamente </w:t>
      </w:r>
      <w:r>
        <w:rPr>
          <w:rFonts w:ascii="Arial" w:hAnsi="Arial" w:cs="Arial"/>
          <w:lang w:eastAsia="es-MX"/>
        </w:rPr>
        <w:t xml:space="preserve">remitió una hoja que corresponde al que, </w:t>
      </w:r>
      <w:r w:rsidRPr="009041EB">
        <w:rPr>
          <w:rFonts w:ascii="Arial" w:hAnsi="Arial" w:cs="Arial"/>
          <w:lang w:eastAsia="es-MX"/>
        </w:rPr>
        <w:t>se infiere</w:t>
      </w:r>
      <w:r>
        <w:rPr>
          <w:rFonts w:ascii="Arial" w:hAnsi="Arial" w:cs="Arial"/>
          <w:lang w:eastAsia="es-MX"/>
        </w:rPr>
        <w:t>,</w:t>
      </w:r>
      <w:r w:rsidRPr="009041EB">
        <w:rPr>
          <w:rFonts w:ascii="Arial" w:hAnsi="Arial" w:cs="Arial"/>
          <w:lang w:eastAsia="es-MX"/>
        </w:rPr>
        <w:t xml:space="preserve"> sería un inicio de convenio de conciliación entre un tr</w:t>
      </w:r>
      <w:r>
        <w:rPr>
          <w:rFonts w:ascii="Arial" w:hAnsi="Arial" w:cs="Arial"/>
          <w:lang w:eastAsia="es-MX"/>
        </w:rPr>
        <w:t xml:space="preserve">abajador y el sujeto obligado, lo que </w:t>
      </w:r>
      <w:r w:rsidRPr="009041EB">
        <w:rPr>
          <w:rFonts w:ascii="Arial" w:hAnsi="Arial" w:cs="Arial"/>
          <w:lang w:eastAsia="es-MX"/>
        </w:rPr>
        <w:t xml:space="preserve">no </w:t>
      </w:r>
      <w:r>
        <w:rPr>
          <w:rFonts w:ascii="Arial" w:hAnsi="Arial" w:cs="Arial"/>
          <w:lang w:eastAsia="es-MX"/>
        </w:rPr>
        <w:t xml:space="preserve">corresponde a </w:t>
      </w:r>
      <w:r w:rsidRPr="009041EB">
        <w:rPr>
          <w:rFonts w:ascii="Arial" w:hAnsi="Arial" w:cs="Arial"/>
          <w:lang w:eastAsia="es-MX"/>
        </w:rPr>
        <w:t xml:space="preserve">los ofrecimientos conciliatorios que se realizan para llegar a un arreglo, </w:t>
      </w:r>
      <w:r w:rsidR="000329A7">
        <w:rPr>
          <w:rFonts w:ascii="Arial" w:hAnsi="Arial" w:cs="Arial"/>
          <w:lang w:eastAsia="es-MX"/>
        </w:rPr>
        <w:t xml:space="preserve">tema que le interesa al </w:t>
      </w:r>
      <w:r w:rsidR="004B7C42">
        <w:rPr>
          <w:rFonts w:ascii="Arial" w:hAnsi="Arial" w:cs="Arial"/>
          <w:lang w:eastAsia="es-MX"/>
        </w:rPr>
        <w:t xml:space="preserve">solicitante; por lo que el OPLE deberá </w:t>
      </w:r>
      <w:r w:rsidR="004B7C42" w:rsidRPr="004B7C42">
        <w:rPr>
          <w:rFonts w:ascii="Arial" w:hAnsi="Arial" w:cs="Arial"/>
          <w:lang w:eastAsia="es-MX"/>
        </w:rPr>
        <w:t xml:space="preserve">notificar la disponibilidad de </w:t>
      </w:r>
      <w:r w:rsidR="004B7C42">
        <w:rPr>
          <w:rFonts w:ascii="Arial" w:hAnsi="Arial" w:cs="Arial"/>
          <w:lang w:eastAsia="es-MX"/>
        </w:rPr>
        <w:t xml:space="preserve">dicha </w:t>
      </w:r>
      <w:r w:rsidR="000329A7">
        <w:rPr>
          <w:rFonts w:ascii="Arial" w:hAnsi="Arial" w:cs="Arial"/>
          <w:lang w:eastAsia="es-MX"/>
        </w:rPr>
        <w:t xml:space="preserve">información </w:t>
      </w:r>
      <w:r w:rsidR="000329A7" w:rsidRPr="000329A7">
        <w:rPr>
          <w:rFonts w:ascii="Arial" w:hAnsi="Arial" w:cs="Arial"/>
          <w:lang w:eastAsia="es-MX"/>
        </w:rPr>
        <w:t xml:space="preserve">y </w:t>
      </w:r>
      <w:r w:rsidR="000329A7">
        <w:rPr>
          <w:rFonts w:ascii="Arial" w:hAnsi="Arial" w:cs="Arial"/>
          <w:lang w:eastAsia="es-MX"/>
        </w:rPr>
        <w:t xml:space="preserve">en </w:t>
      </w:r>
      <w:r w:rsidR="000329A7" w:rsidRPr="000329A7">
        <w:rPr>
          <w:rFonts w:ascii="Arial" w:hAnsi="Arial" w:cs="Arial"/>
          <w:lang w:eastAsia="es-MX"/>
        </w:rPr>
        <w:t xml:space="preserve">caso de no contar con </w:t>
      </w:r>
      <w:r w:rsidR="000329A7">
        <w:rPr>
          <w:rFonts w:ascii="Arial" w:hAnsi="Arial" w:cs="Arial"/>
          <w:lang w:eastAsia="es-MX"/>
        </w:rPr>
        <w:t xml:space="preserve">ella, tendrá que </w:t>
      </w:r>
      <w:r w:rsidR="000329A7" w:rsidRPr="000329A7">
        <w:rPr>
          <w:rFonts w:ascii="Arial" w:hAnsi="Arial" w:cs="Arial"/>
          <w:lang w:eastAsia="es-MX"/>
        </w:rPr>
        <w:t xml:space="preserve">declarar formalmente </w:t>
      </w:r>
      <w:r w:rsidR="000329A7">
        <w:rPr>
          <w:rFonts w:ascii="Arial" w:hAnsi="Arial" w:cs="Arial"/>
          <w:lang w:eastAsia="es-MX"/>
        </w:rPr>
        <w:t xml:space="preserve">su inexistencia </w:t>
      </w:r>
      <w:r w:rsidR="000329A7" w:rsidRPr="000329A7">
        <w:rPr>
          <w:rFonts w:ascii="Arial" w:hAnsi="Arial" w:cs="Arial"/>
          <w:lang w:eastAsia="es-MX"/>
        </w:rPr>
        <w:t>a través de su Comité de Transparencia.</w:t>
      </w:r>
    </w:p>
    <w:p w:rsidR="004B7C42" w:rsidRDefault="004B7C42" w:rsidP="00981D39">
      <w:pPr>
        <w:rPr>
          <w:rFonts w:ascii="Arial" w:hAnsi="Arial" w:cs="Arial"/>
          <w:lang w:eastAsia="es-MX"/>
        </w:rPr>
      </w:pPr>
    </w:p>
    <w:p w:rsidR="000329A7" w:rsidRDefault="000329A7" w:rsidP="00981D39">
      <w:pPr>
        <w:rPr>
          <w:rFonts w:ascii="Arial" w:hAnsi="Arial" w:cs="Arial"/>
          <w:lang w:eastAsia="es-MX"/>
        </w:rPr>
      </w:pPr>
    </w:p>
    <w:p w:rsidR="006D17A2" w:rsidRDefault="007E3E5F" w:rsidP="000329A7">
      <w:pPr>
        <w:jc w:val="center"/>
        <w:rPr>
          <w:rFonts w:ascii="Arial" w:hAnsi="Arial" w:cs="Arial"/>
          <w:lang w:eastAsia="es-MX"/>
        </w:rPr>
      </w:pPr>
      <w:r w:rsidRPr="009B1781">
        <w:rPr>
          <w:rFonts w:ascii="Arial" w:hAnsi="Arial" w:cs="Arial"/>
          <w:b/>
          <w:lang w:eastAsia="es-MX"/>
        </w:rPr>
        <w:t>---000---</w:t>
      </w: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00" w:rsidRDefault="004E1400" w:rsidP="00E418E4">
      <w:r>
        <w:separator/>
      </w:r>
    </w:p>
  </w:endnote>
  <w:endnote w:type="continuationSeparator" w:id="0">
    <w:p w:rsidR="004E1400" w:rsidRDefault="004E140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5D20F7">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00" w:rsidRDefault="004E1400" w:rsidP="00E418E4">
      <w:r>
        <w:separator/>
      </w:r>
    </w:p>
  </w:footnote>
  <w:footnote w:type="continuationSeparator" w:id="0">
    <w:p w:rsidR="004E1400" w:rsidRDefault="004E140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B913B0">
      <w:rPr>
        <w:rFonts w:ascii="Arial Narrow" w:hAnsi="Arial Narrow"/>
        <w:b/>
        <w:sz w:val="20"/>
        <w:szCs w:val="20"/>
      </w:rPr>
      <w:t>4</w:t>
    </w:r>
  </w:p>
  <w:p w:rsidR="00C33AFE" w:rsidRPr="00ED0024" w:rsidRDefault="00633688" w:rsidP="00C33AFE">
    <w:pPr>
      <w:pStyle w:val="Encabezado"/>
      <w:rPr>
        <w:rFonts w:ascii="Arial Narrow" w:hAnsi="Arial Narrow"/>
        <w:b/>
        <w:sz w:val="20"/>
        <w:szCs w:val="20"/>
      </w:rPr>
    </w:pPr>
    <w:r>
      <w:rPr>
        <w:rFonts w:ascii="Arial Narrow" w:hAnsi="Arial Narrow"/>
        <w:b/>
        <w:sz w:val="20"/>
        <w:szCs w:val="20"/>
      </w:rPr>
      <w:t>07</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7D1"/>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361"/>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C0AAA"/>
    <w:rsid w:val="008C0C01"/>
    <w:rsid w:val="008C0EA4"/>
    <w:rsid w:val="008C16C5"/>
    <w:rsid w:val="008C1FBB"/>
    <w:rsid w:val="008C22AE"/>
    <w:rsid w:val="008C239B"/>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DAC"/>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7B3"/>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55D1"/>
    <w:rsid w:val="00FF607E"/>
    <w:rsid w:val="00FF6192"/>
    <w:rsid w:val="00FF63C7"/>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0CB3-8116-4CC2-9181-0711B8D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13</cp:revision>
  <cp:lastPrinted>2017-03-23T00:31:00Z</cp:lastPrinted>
  <dcterms:created xsi:type="dcterms:W3CDTF">2017-06-07T22:25:00Z</dcterms:created>
  <dcterms:modified xsi:type="dcterms:W3CDTF">2017-06-08T01:09:00Z</dcterms:modified>
</cp:coreProperties>
</file>