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EA" w:rsidRPr="00B52089" w:rsidRDefault="001807EA" w:rsidP="001807EA">
      <w:pPr>
        <w:spacing w:after="0" w:line="240" w:lineRule="auto"/>
        <w:jc w:val="center"/>
        <w:rPr>
          <w:rFonts w:ascii="Arial" w:hAnsi="Arial" w:cs="Arial"/>
          <w:lang w:eastAsia="es-MX"/>
        </w:rPr>
      </w:pPr>
      <w:r w:rsidRPr="00B52089">
        <w:rPr>
          <w:rFonts w:ascii="Arial" w:hAnsi="Arial" w:cs="Arial"/>
          <w:lang w:eastAsia="es-MX"/>
        </w:rPr>
        <w:t xml:space="preserve">Como una de las </w:t>
      </w:r>
      <w:r w:rsidRPr="00B52089">
        <w:rPr>
          <w:rFonts w:ascii="Arial" w:hAnsi="Arial" w:cs="Arial"/>
          <w:sz w:val="24"/>
          <w:szCs w:val="24"/>
          <w:lang w:eastAsia="es-MX"/>
        </w:rPr>
        <w:t xml:space="preserve">obligaciones </w:t>
      </w:r>
      <w:r w:rsidRPr="00B52089">
        <w:rPr>
          <w:rFonts w:ascii="Arial" w:hAnsi="Arial" w:cs="Arial"/>
          <w:lang w:eastAsia="es-MX"/>
        </w:rPr>
        <w:t>más importantes de transparencia</w:t>
      </w:r>
    </w:p>
    <w:p w:rsidR="001807EA" w:rsidRPr="00B52089" w:rsidRDefault="001807EA" w:rsidP="001807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s-MX"/>
        </w:rPr>
      </w:pPr>
    </w:p>
    <w:p w:rsidR="001807EA" w:rsidRPr="00B52089" w:rsidRDefault="001807EA" w:rsidP="001807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s-MX"/>
        </w:rPr>
      </w:pPr>
      <w:r w:rsidRPr="00B52089">
        <w:rPr>
          <w:rFonts w:ascii="Arial" w:hAnsi="Arial" w:cs="Arial"/>
          <w:b/>
          <w:sz w:val="28"/>
          <w:szCs w:val="28"/>
          <w:lang w:eastAsia="es-MX"/>
        </w:rPr>
        <w:t xml:space="preserve">Impulsan construcción de indicadores de gestión </w:t>
      </w:r>
    </w:p>
    <w:p w:rsidR="001807EA" w:rsidRPr="00B52089" w:rsidRDefault="001807EA" w:rsidP="001807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s-MX"/>
        </w:rPr>
      </w:pPr>
      <w:proofErr w:type="gramStart"/>
      <w:r w:rsidRPr="00B52089">
        <w:rPr>
          <w:rFonts w:ascii="Arial" w:hAnsi="Arial" w:cs="Arial"/>
          <w:b/>
          <w:sz w:val="28"/>
          <w:szCs w:val="28"/>
          <w:lang w:eastAsia="es-MX"/>
        </w:rPr>
        <w:t>gubernamental</w:t>
      </w:r>
      <w:proofErr w:type="gramEnd"/>
      <w:r w:rsidRPr="00B52089">
        <w:rPr>
          <w:rFonts w:ascii="Arial" w:hAnsi="Arial" w:cs="Arial"/>
          <w:b/>
          <w:sz w:val="28"/>
          <w:szCs w:val="28"/>
          <w:lang w:eastAsia="es-MX"/>
        </w:rPr>
        <w:t xml:space="preserve"> por parte de ayuntamientos</w:t>
      </w:r>
    </w:p>
    <w:p w:rsidR="001807EA" w:rsidRPr="00B52089" w:rsidRDefault="001807EA" w:rsidP="001807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s-MX"/>
        </w:rPr>
      </w:pPr>
    </w:p>
    <w:p w:rsidR="001807EA" w:rsidRPr="00B52089" w:rsidRDefault="001807EA" w:rsidP="001807E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es-MX"/>
        </w:rPr>
      </w:pPr>
      <w:r w:rsidRPr="00B52089">
        <w:rPr>
          <w:rFonts w:ascii="Arial" w:hAnsi="Arial" w:cs="Arial"/>
          <w:lang w:eastAsia="es-MX"/>
        </w:rPr>
        <w:t xml:space="preserve">IVAI, ORFIS, INEGI e INVEDEM realizan taller con cerca de 200 </w:t>
      </w:r>
      <w:r w:rsidR="00426C96" w:rsidRPr="00B52089">
        <w:rPr>
          <w:rFonts w:ascii="Arial" w:hAnsi="Arial" w:cs="Arial"/>
          <w:lang w:eastAsia="es-MX"/>
        </w:rPr>
        <w:t xml:space="preserve">servidores públicos </w:t>
      </w:r>
      <w:r w:rsidRPr="00B52089">
        <w:rPr>
          <w:rFonts w:ascii="Arial" w:hAnsi="Arial" w:cs="Arial"/>
          <w:lang w:eastAsia="es-MX"/>
        </w:rPr>
        <w:t>provenientes de 80 municipios</w:t>
      </w:r>
    </w:p>
    <w:p w:rsidR="001807EA" w:rsidRPr="00B52089" w:rsidRDefault="001807EA" w:rsidP="001807EA">
      <w:pPr>
        <w:spacing w:after="0" w:line="240" w:lineRule="auto"/>
        <w:ind w:left="720"/>
        <w:rPr>
          <w:rFonts w:ascii="Arial" w:hAnsi="Arial" w:cs="Arial"/>
          <w:b/>
          <w:sz w:val="28"/>
          <w:szCs w:val="28"/>
          <w:lang w:eastAsia="es-MX"/>
        </w:rPr>
      </w:pPr>
    </w:p>
    <w:p w:rsidR="001807EA" w:rsidRPr="00B52089" w:rsidRDefault="001807EA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  <w:r w:rsidRPr="00B52089">
        <w:rPr>
          <w:rFonts w:ascii="Arial" w:hAnsi="Arial" w:cs="Arial"/>
          <w:lang w:eastAsia="es-MX"/>
        </w:rPr>
        <w:t xml:space="preserve">Xalapa, Ver., 12 de agosto de 2016.- Como parte de un esfuerzo conjunto y coordinado, el Instituto Veracruzano de Acceso a la Información y Protección de Datos Personales (IVAI), el Órgano de Fiscalización Superior del Estado de Veracruz (ORFIS), el Instituto Nacional de Estadística y Geografía (INEGI) y el Instituto Veracruzano de Desarrollo Municipal (INVEDEM) </w:t>
      </w:r>
      <w:r w:rsidR="00CF308B" w:rsidRPr="00B52089">
        <w:rPr>
          <w:rFonts w:ascii="Arial" w:hAnsi="Arial" w:cs="Arial"/>
          <w:lang w:eastAsia="es-MX"/>
        </w:rPr>
        <w:t>reunieron a cerca de 200 servidore</w:t>
      </w:r>
      <w:r w:rsidRPr="00B52089">
        <w:rPr>
          <w:rFonts w:ascii="Arial" w:hAnsi="Arial" w:cs="Arial"/>
          <w:lang w:eastAsia="es-MX"/>
        </w:rPr>
        <w:t>s p</w:t>
      </w:r>
      <w:r w:rsidR="00CF308B" w:rsidRPr="00B52089">
        <w:rPr>
          <w:rFonts w:ascii="Arial" w:hAnsi="Arial" w:cs="Arial"/>
          <w:lang w:eastAsia="es-MX"/>
        </w:rPr>
        <w:t>úblicos p</w:t>
      </w:r>
      <w:r w:rsidR="008973A2" w:rsidRPr="00B52089">
        <w:rPr>
          <w:rFonts w:ascii="Arial" w:hAnsi="Arial" w:cs="Arial"/>
          <w:lang w:eastAsia="es-MX"/>
        </w:rPr>
        <w:t>rovenientes de 80</w:t>
      </w:r>
      <w:r w:rsidRPr="00B52089">
        <w:rPr>
          <w:rFonts w:ascii="Arial" w:hAnsi="Arial" w:cs="Arial"/>
          <w:lang w:eastAsia="es-MX"/>
        </w:rPr>
        <w:t xml:space="preserve"> ayuntamientos de Veracruz </w:t>
      </w:r>
      <w:r w:rsidR="00CF308B" w:rsidRPr="00B52089">
        <w:rPr>
          <w:rFonts w:ascii="Arial" w:hAnsi="Arial" w:cs="Arial"/>
          <w:lang w:eastAsia="es-MX"/>
        </w:rPr>
        <w:t xml:space="preserve">los días </w:t>
      </w:r>
      <w:r w:rsidR="00776ECA" w:rsidRPr="00B52089">
        <w:rPr>
          <w:rFonts w:ascii="Arial" w:hAnsi="Arial" w:cs="Arial"/>
          <w:lang w:eastAsia="es-MX"/>
        </w:rPr>
        <w:t xml:space="preserve">10, 11 y 12 de agosto </w:t>
      </w:r>
      <w:r w:rsidR="00BE4ED4" w:rsidRPr="00B52089">
        <w:rPr>
          <w:rFonts w:ascii="Arial" w:hAnsi="Arial" w:cs="Arial"/>
          <w:lang w:eastAsia="es-MX"/>
        </w:rPr>
        <w:t xml:space="preserve">en </w:t>
      </w:r>
      <w:r w:rsidR="00CF308B" w:rsidRPr="00B52089">
        <w:rPr>
          <w:rFonts w:ascii="Arial" w:hAnsi="Arial" w:cs="Arial"/>
          <w:lang w:eastAsia="es-MX"/>
        </w:rPr>
        <w:t xml:space="preserve">el </w:t>
      </w:r>
      <w:r w:rsidR="008F542D" w:rsidRPr="00B52089">
        <w:rPr>
          <w:rFonts w:ascii="Arial" w:hAnsi="Arial" w:cs="Arial"/>
          <w:lang w:eastAsia="es-MX"/>
        </w:rPr>
        <w:t>“</w:t>
      </w:r>
      <w:r w:rsidR="00CF308B" w:rsidRPr="00B52089">
        <w:rPr>
          <w:rFonts w:ascii="Arial" w:hAnsi="Arial" w:cs="Arial"/>
          <w:lang w:eastAsia="es-MX"/>
        </w:rPr>
        <w:t xml:space="preserve">Taller </w:t>
      </w:r>
      <w:r w:rsidR="00BE4ED4" w:rsidRPr="00B52089">
        <w:rPr>
          <w:rFonts w:ascii="Arial" w:hAnsi="Arial" w:cs="Arial"/>
          <w:lang w:eastAsia="es-MX"/>
        </w:rPr>
        <w:t xml:space="preserve">para la </w:t>
      </w:r>
      <w:r w:rsidR="008F542D" w:rsidRPr="00B52089">
        <w:rPr>
          <w:rFonts w:ascii="Arial" w:hAnsi="Arial" w:cs="Arial"/>
          <w:lang w:eastAsia="es-MX"/>
        </w:rPr>
        <w:t>c</w:t>
      </w:r>
      <w:r w:rsidRPr="00B52089">
        <w:rPr>
          <w:rFonts w:ascii="Arial" w:hAnsi="Arial" w:cs="Arial"/>
          <w:lang w:eastAsia="es-MX"/>
        </w:rPr>
        <w:t xml:space="preserve">onstrucción </w:t>
      </w:r>
      <w:r w:rsidR="00CF308B" w:rsidRPr="00B52089">
        <w:rPr>
          <w:rFonts w:ascii="Arial" w:hAnsi="Arial" w:cs="Arial"/>
          <w:lang w:eastAsia="es-MX"/>
        </w:rPr>
        <w:t xml:space="preserve">de </w:t>
      </w:r>
      <w:r w:rsidR="008F542D" w:rsidRPr="00B52089">
        <w:rPr>
          <w:rFonts w:ascii="Arial" w:hAnsi="Arial" w:cs="Arial"/>
          <w:lang w:eastAsia="es-MX"/>
        </w:rPr>
        <w:t>in</w:t>
      </w:r>
      <w:r w:rsidR="00CF308B" w:rsidRPr="00B52089">
        <w:rPr>
          <w:rFonts w:ascii="Arial" w:hAnsi="Arial" w:cs="Arial"/>
          <w:lang w:eastAsia="es-MX"/>
        </w:rPr>
        <w:t xml:space="preserve">dicadores de </w:t>
      </w:r>
      <w:r w:rsidR="008F542D" w:rsidRPr="00B52089">
        <w:rPr>
          <w:rFonts w:ascii="Arial" w:hAnsi="Arial" w:cs="Arial"/>
          <w:lang w:eastAsia="es-MX"/>
        </w:rPr>
        <w:t>g</w:t>
      </w:r>
      <w:r w:rsidR="00CF308B" w:rsidRPr="00B52089">
        <w:rPr>
          <w:rFonts w:ascii="Arial" w:hAnsi="Arial" w:cs="Arial"/>
          <w:lang w:eastAsia="es-MX"/>
        </w:rPr>
        <w:t xml:space="preserve">estión </w:t>
      </w:r>
      <w:r w:rsidR="008F542D" w:rsidRPr="00B52089">
        <w:rPr>
          <w:rFonts w:ascii="Arial" w:hAnsi="Arial" w:cs="Arial"/>
          <w:lang w:eastAsia="es-MX"/>
        </w:rPr>
        <w:t>g</w:t>
      </w:r>
      <w:r w:rsidR="00CF308B" w:rsidRPr="00B52089">
        <w:rPr>
          <w:rFonts w:ascii="Arial" w:hAnsi="Arial" w:cs="Arial"/>
          <w:lang w:eastAsia="es-MX"/>
        </w:rPr>
        <w:t>u</w:t>
      </w:r>
      <w:r w:rsidR="008F542D" w:rsidRPr="00B52089">
        <w:rPr>
          <w:rFonts w:ascii="Arial" w:hAnsi="Arial" w:cs="Arial"/>
          <w:lang w:eastAsia="es-MX"/>
        </w:rPr>
        <w:t>bernamental”.</w:t>
      </w:r>
    </w:p>
    <w:p w:rsidR="001807EA" w:rsidRPr="00B52089" w:rsidRDefault="001807EA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1807EA" w:rsidRPr="00B52089" w:rsidRDefault="001807EA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  <w:r w:rsidRPr="00B52089">
        <w:rPr>
          <w:rFonts w:ascii="Arial" w:hAnsi="Arial" w:cs="Arial"/>
          <w:lang w:eastAsia="es-MX"/>
        </w:rPr>
        <w:t xml:space="preserve">La </w:t>
      </w:r>
      <w:r w:rsidR="00E92FBC" w:rsidRPr="00B52089">
        <w:rPr>
          <w:rFonts w:ascii="Arial" w:hAnsi="Arial" w:cs="Arial"/>
          <w:lang w:eastAsia="es-MX"/>
        </w:rPr>
        <w:t>definición</w:t>
      </w:r>
      <w:r w:rsidRPr="00B52089">
        <w:rPr>
          <w:rFonts w:ascii="Arial" w:hAnsi="Arial" w:cs="Arial"/>
          <w:lang w:eastAsia="es-MX"/>
        </w:rPr>
        <w:t xml:space="preserve"> de indicadores es una de las obligaciones de transparencia comunes a todos los sujetos obligados que establece la Ley General de Transparencia y Acceso a la Información Pública en su artículo 70 para que estos rindan cuentas del cumplimiento de sus objetivos y resultados obtenidos.</w:t>
      </w:r>
    </w:p>
    <w:p w:rsidR="001807EA" w:rsidRPr="00B52089" w:rsidRDefault="001807EA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1807EA" w:rsidRPr="00B52089" w:rsidRDefault="001807EA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  <w:r w:rsidRPr="00B52089">
        <w:rPr>
          <w:rFonts w:ascii="Arial" w:hAnsi="Arial" w:cs="Arial"/>
          <w:lang w:eastAsia="es-MX"/>
        </w:rPr>
        <w:t xml:space="preserve">Por ello, las instituciones convocantes sumaron sus capacidades para impulsar el cumplimiento de este deber </w:t>
      </w:r>
      <w:r w:rsidR="007D3891" w:rsidRPr="00B52089">
        <w:rPr>
          <w:rFonts w:ascii="Arial" w:hAnsi="Arial" w:cs="Arial"/>
          <w:lang w:eastAsia="es-MX"/>
        </w:rPr>
        <w:t>compartiendo un marco de referencia, experiencias, estrategias y una metodología homogénea</w:t>
      </w:r>
      <w:r w:rsidRPr="00B52089">
        <w:rPr>
          <w:rFonts w:ascii="Arial" w:hAnsi="Arial" w:cs="Arial"/>
          <w:lang w:eastAsia="es-MX"/>
        </w:rPr>
        <w:t xml:space="preserve">, en este caso, </w:t>
      </w:r>
      <w:bookmarkStart w:id="0" w:name="_GoBack"/>
      <w:bookmarkEnd w:id="0"/>
      <w:r w:rsidRPr="00B52089">
        <w:rPr>
          <w:rFonts w:ascii="Arial" w:hAnsi="Arial" w:cs="Arial"/>
          <w:lang w:eastAsia="es-MX"/>
        </w:rPr>
        <w:t xml:space="preserve">entre los ayuntamientos, cuyas atribuciones son coincidentes. Esto, a fin de que la ciudadanía pueda consultar dicha información de manera clara y bajo los mismos criterios. </w:t>
      </w:r>
    </w:p>
    <w:p w:rsidR="007D3891" w:rsidRPr="00B52089" w:rsidRDefault="007D3891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1807EA" w:rsidRPr="00B52089" w:rsidRDefault="001807EA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  <w:r w:rsidRPr="00B52089">
        <w:rPr>
          <w:rFonts w:ascii="Arial" w:hAnsi="Arial" w:cs="Arial"/>
          <w:lang w:eastAsia="es-MX"/>
        </w:rPr>
        <w:t>Los ayuntamientos tendrán que trabajar este aspecto tomando en cuenta temas de interés público o trascendencia social que conforme a sus funciones deban establecer. Por ejemplo, en lo correspondiente a los programas de subsidios, estímulos y apoyos, donde se deberá informar respecto de los programas de transferencia, servicios, infraestructura social y subsidio, se deberá especificar indicadores con nombre, definición, método de cálculo, unidad de medida, dimensión, frecuencia de medición y nombre de las bases de datos utilizadas para su cálculo.</w:t>
      </w:r>
    </w:p>
    <w:p w:rsidR="001807EA" w:rsidRPr="00B52089" w:rsidRDefault="001807EA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1807EA" w:rsidRPr="00B52089" w:rsidRDefault="001807EA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  <w:r w:rsidRPr="00B52089">
        <w:rPr>
          <w:rFonts w:ascii="Arial" w:hAnsi="Arial" w:cs="Arial"/>
          <w:lang w:eastAsia="es-MX"/>
        </w:rPr>
        <w:t>Esto implica una ardua tarea</w:t>
      </w:r>
      <w:r w:rsidR="00E92FBC" w:rsidRPr="00B52089">
        <w:rPr>
          <w:rFonts w:ascii="Arial" w:hAnsi="Arial" w:cs="Arial"/>
          <w:lang w:eastAsia="es-MX"/>
        </w:rPr>
        <w:t xml:space="preserve">, por lo que IVAI, ORFIS, INEGI e INVEDEM </w:t>
      </w:r>
      <w:r w:rsidR="00776ECA" w:rsidRPr="00B52089">
        <w:rPr>
          <w:rFonts w:ascii="Arial" w:hAnsi="Arial" w:cs="Arial"/>
          <w:lang w:eastAsia="es-MX"/>
        </w:rPr>
        <w:t xml:space="preserve">han venido afinando detalles para brindar el mayor apoyo posible y garantizar </w:t>
      </w:r>
      <w:r w:rsidR="00C11B1E" w:rsidRPr="00B52089">
        <w:rPr>
          <w:rFonts w:ascii="Arial" w:hAnsi="Arial" w:cs="Arial"/>
          <w:lang w:eastAsia="es-MX"/>
        </w:rPr>
        <w:t>que se cumpla; por su parte e</w:t>
      </w:r>
      <w:r w:rsidR="00E42A02" w:rsidRPr="00B52089">
        <w:rPr>
          <w:rFonts w:ascii="Arial" w:hAnsi="Arial" w:cs="Arial"/>
          <w:lang w:eastAsia="es-MX"/>
        </w:rPr>
        <w:t xml:space="preserve">l </w:t>
      </w:r>
      <w:r w:rsidR="007D3891" w:rsidRPr="00B52089">
        <w:rPr>
          <w:rFonts w:ascii="Arial" w:hAnsi="Arial" w:cs="Arial"/>
          <w:lang w:eastAsia="es-MX"/>
        </w:rPr>
        <w:t xml:space="preserve">INEGI </w:t>
      </w:r>
      <w:r w:rsidR="00E42A02" w:rsidRPr="00B52089">
        <w:rPr>
          <w:rFonts w:ascii="Arial" w:hAnsi="Arial" w:cs="Arial"/>
          <w:lang w:eastAsia="es-MX"/>
        </w:rPr>
        <w:t xml:space="preserve">capacitó </w:t>
      </w:r>
      <w:r w:rsidR="00C90E99" w:rsidRPr="00B52089">
        <w:rPr>
          <w:rFonts w:ascii="Arial" w:hAnsi="Arial" w:cs="Arial"/>
          <w:lang w:eastAsia="es-MX"/>
        </w:rPr>
        <w:t xml:space="preserve">a diversos servidores </w:t>
      </w:r>
      <w:r w:rsidR="007D3891" w:rsidRPr="00B52089">
        <w:rPr>
          <w:rFonts w:ascii="Arial" w:hAnsi="Arial" w:cs="Arial"/>
          <w:lang w:eastAsia="es-MX"/>
        </w:rPr>
        <w:t xml:space="preserve">públicos </w:t>
      </w:r>
      <w:r w:rsidR="00C90E99" w:rsidRPr="00B52089">
        <w:rPr>
          <w:rFonts w:ascii="Arial" w:hAnsi="Arial" w:cs="Arial"/>
          <w:lang w:eastAsia="es-MX"/>
        </w:rPr>
        <w:t xml:space="preserve">de IVAI, ORFIS e INVEDEM para </w:t>
      </w:r>
      <w:r w:rsidR="007D3891" w:rsidRPr="00B52089">
        <w:rPr>
          <w:rFonts w:ascii="Arial" w:hAnsi="Arial" w:cs="Arial"/>
          <w:lang w:eastAsia="es-MX"/>
        </w:rPr>
        <w:t>dotarlos de las herramientas necesarias que les permitieran convertirse en facilitadores y orientar a los sujetos obligados en este tenor.</w:t>
      </w:r>
    </w:p>
    <w:p w:rsidR="00546896" w:rsidRPr="00B52089" w:rsidRDefault="00546896" w:rsidP="001807EA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3E790D" w:rsidRPr="00B52089" w:rsidRDefault="00B67585" w:rsidP="00E77D7F">
      <w:pPr>
        <w:spacing w:after="0" w:line="240" w:lineRule="auto"/>
        <w:jc w:val="both"/>
        <w:rPr>
          <w:rFonts w:ascii="Arial" w:hAnsi="Arial" w:cs="Arial"/>
          <w:lang w:eastAsia="es-MX"/>
        </w:rPr>
      </w:pPr>
      <w:r w:rsidRPr="00B52089">
        <w:rPr>
          <w:rFonts w:ascii="Arial" w:hAnsi="Arial" w:cs="Arial"/>
          <w:lang w:eastAsia="es-MX"/>
        </w:rPr>
        <w:t xml:space="preserve">Así, en </w:t>
      </w:r>
      <w:r w:rsidR="003A0DE7" w:rsidRPr="00B52089">
        <w:rPr>
          <w:rFonts w:ascii="Arial" w:hAnsi="Arial" w:cs="Arial"/>
          <w:lang w:eastAsia="es-MX"/>
        </w:rPr>
        <w:t>la primera parte del “</w:t>
      </w:r>
      <w:r w:rsidRPr="00B52089">
        <w:rPr>
          <w:rFonts w:ascii="Arial" w:hAnsi="Arial" w:cs="Arial"/>
          <w:lang w:eastAsia="es-MX"/>
        </w:rPr>
        <w:t>Taller para la construcción de indicadores de gestión gubernamental”</w:t>
      </w:r>
      <w:r w:rsidR="005A78F2" w:rsidRPr="00B52089">
        <w:rPr>
          <w:rFonts w:ascii="Arial" w:hAnsi="Arial" w:cs="Arial"/>
          <w:lang w:eastAsia="es-MX"/>
        </w:rPr>
        <w:t xml:space="preserve">, realizado en las instalaciones proporcionadas por el Orfis, </w:t>
      </w:r>
      <w:r w:rsidR="005C361E" w:rsidRPr="00B52089">
        <w:rPr>
          <w:rFonts w:ascii="Arial" w:hAnsi="Arial" w:cs="Arial"/>
          <w:lang w:eastAsia="es-MX"/>
        </w:rPr>
        <w:t>participaron</w:t>
      </w:r>
      <w:r w:rsidR="00904ACE" w:rsidRPr="00B52089">
        <w:rPr>
          <w:rFonts w:ascii="Arial" w:hAnsi="Arial" w:cs="Arial"/>
          <w:lang w:eastAsia="es-MX"/>
        </w:rPr>
        <w:t xml:space="preserve"> facilitadores del INEGI así como </w:t>
      </w:r>
      <w:r w:rsidR="005A78F2" w:rsidRPr="00B52089">
        <w:rPr>
          <w:rFonts w:ascii="Arial" w:hAnsi="Arial" w:cs="Arial"/>
          <w:lang w:eastAsia="es-MX"/>
        </w:rPr>
        <w:t>“</w:t>
      </w:r>
      <w:r w:rsidR="00904ACE" w:rsidRPr="00B52089">
        <w:rPr>
          <w:rFonts w:ascii="Arial" w:hAnsi="Arial" w:cs="Arial"/>
          <w:lang w:eastAsia="es-MX"/>
        </w:rPr>
        <w:t>facilitadores en desarrollo</w:t>
      </w:r>
      <w:r w:rsidR="005A78F2" w:rsidRPr="00B52089">
        <w:rPr>
          <w:rFonts w:ascii="Arial" w:hAnsi="Arial" w:cs="Arial"/>
          <w:lang w:eastAsia="es-MX"/>
        </w:rPr>
        <w:t>”</w:t>
      </w:r>
      <w:r w:rsidR="00904ACE" w:rsidRPr="00B52089">
        <w:rPr>
          <w:rFonts w:ascii="Arial" w:hAnsi="Arial" w:cs="Arial"/>
          <w:lang w:eastAsia="es-MX"/>
        </w:rPr>
        <w:t xml:space="preserve"> de los demás organismos</w:t>
      </w:r>
      <w:r w:rsidR="005A78F2" w:rsidRPr="00B52089">
        <w:rPr>
          <w:rFonts w:ascii="Arial" w:hAnsi="Arial" w:cs="Arial"/>
          <w:lang w:eastAsia="es-MX"/>
        </w:rPr>
        <w:t xml:space="preserve">. Por parte de los ayuntamientos asistió </w:t>
      </w:r>
      <w:r w:rsidR="00980ED1" w:rsidRPr="00B52089">
        <w:rPr>
          <w:rFonts w:ascii="Arial" w:hAnsi="Arial" w:cs="Arial"/>
          <w:lang w:eastAsia="es-MX"/>
        </w:rPr>
        <w:t xml:space="preserve">personal con responsabilidades en la toma de decisiones, de seguimiento y evaluación y/o de elaboración de indicadores como </w:t>
      </w:r>
      <w:r w:rsidR="00980ED1" w:rsidRPr="00B52089">
        <w:rPr>
          <w:rFonts w:ascii="Arial" w:hAnsi="Arial" w:cs="Arial"/>
          <w:lang w:eastAsia="es-MX"/>
        </w:rPr>
        <w:lastRenderedPageBreak/>
        <w:t>contralores, tesoreros, secretarios municipales, directores de áreas jurídicas, de obras públicas, supervisores de obra, entre otros</w:t>
      </w:r>
      <w:r w:rsidR="003E790D" w:rsidRPr="00B52089">
        <w:rPr>
          <w:rFonts w:ascii="Arial" w:hAnsi="Arial" w:cs="Arial"/>
          <w:lang w:eastAsia="es-MX"/>
        </w:rPr>
        <w:t xml:space="preserve">. </w:t>
      </w:r>
    </w:p>
    <w:p w:rsidR="003E790D" w:rsidRPr="00B52089" w:rsidRDefault="003E790D" w:rsidP="00E77D7F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E77D7F" w:rsidRPr="00B52089" w:rsidRDefault="005A78F2" w:rsidP="00E77D7F">
      <w:pPr>
        <w:spacing w:after="0" w:line="240" w:lineRule="auto"/>
        <w:jc w:val="both"/>
        <w:rPr>
          <w:rFonts w:ascii="Arial" w:hAnsi="Arial" w:cs="Arial"/>
          <w:lang w:eastAsia="es-MX"/>
        </w:rPr>
      </w:pPr>
      <w:r w:rsidRPr="00B52089">
        <w:rPr>
          <w:rFonts w:ascii="Arial" w:hAnsi="Arial" w:cs="Arial"/>
          <w:lang w:eastAsia="es-MX"/>
        </w:rPr>
        <w:t>En esta ocasión, l</w:t>
      </w:r>
      <w:r w:rsidR="00980ED1" w:rsidRPr="00B52089">
        <w:rPr>
          <w:rFonts w:ascii="Arial" w:hAnsi="Arial" w:cs="Arial"/>
          <w:lang w:eastAsia="es-MX"/>
        </w:rPr>
        <w:t xml:space="preserve">os ayuntamientos </w:t>
      </w:r>
      <w:r w:rsidR="003E790D" w:rsidRPr="00B52089">
        <w:rPr>
          <w:rFonts w:ascii="Arial" w:hAnsi="Arial" w:cs="Arial"/>
          <w:lang w:eastAsia="es-MX"/>
        </w:rPr>
        <w:t>convocados fueron</w:t>
      </w:r>
      <w:r w:rsidR="00980ED1" w:rsidRPr="00B52089">
        <w:rPr>
          <w:rFonts w:ascii="Arial" w:hAnsi="Arial" w:cs="Arial"/>
          <w:lang w:eastAsia="es-MX"/>
        </w:rPr>
        <w:t xml:space="preserve">: </w:t>
      </w:r>
      <w:r w:rsidR="00E77D7F" w:rsidRPr="00B52089">
        <w:rPr>
          <w:rFonts w:ascii="Arial" w:hAnsi="Arial" w:cs="Arial"/>
          <w:lang w:eastAsia="es-MX"/>
        </w:rPr>
        <w:t xml:space="preserve">Acatlán, Actopan, </w:t>
      </w:r>
      <w:proofErr w:type="spellStart"/>
      <w:r w:rsidR="00E77D7F" w:rsidRPr="00B52089">
        <w:rPr>
          <w:rFonts w:ascii="Arial" w:hAnsi="Arial" w:cs="Arial"/>
          <w:lang w:eastAsia="es-MX"/>
        </w:rPr>
        <w:t>Alpatláhuac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Alto Lucero, </w:t>
      </w:r>
      <w:proofErr w:type="spellStart"/>
      <w:r w:rsidR="00E77D7F" w:rsidRPr="00B52089">
        <w:rPr>
          <w:rFonts w:ascii="Arial" w:hAnsi="Arial" w:cs="Arial"/>
          <w:lang w:eastAsia="es-MX"/>
        </w:rPr>
        <w:t>Altotonga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</w:t>
      </w:r>
      <w:proofErr w:type="spellStart"/>
      <w:r w:rsidR="00E77D7F" w:rsidRPr="00B52089">
        <w:rPr>
          <w:rFonts w:ascii="Arial" w:hAnsi="Arial" w:cs="Arial"/>
          <w:lang w:eastAsia="es-MX"/>
        </w:rPr>
        <w:t>Atlahuilco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Atzacan, Camerino Z. Mendoza, Chinameca, </w:t>
      </w:r>
      <w:proofErr w:type="spellStart"/>
      <w:r w:rsidR="00E77D7F" w:rsidRPr="00B52089">
        <w:rPr>
          <w:rFonts w:ascii="Arial" w:hAnsi="Arial" w:cs="Arial"/>
          <w:lang w:eastAsia="es-MX"/>
        </w:rPr>
        <w:t>Chontla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</w:t>
      </w:r>
      <w:proofErr w:type="spellStart"/>
      <w:r w:rsidR="00E77D7F" w:rsidRPr="00B52089">
        <w:rPr>
          <w:rFonts w:ascii="Arial" w:hAnsi="Arial" w:cs="Arial"/>
          <w:lang w:eastAsia="es-MX"/>
        </w:rPr>
        <w:t>Citlaltépetl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Coatepec, Colipa, </w:t>
      </w:r>
      <w:proofErr w:type="spellStart"/>
      <w:r w:rsidR="00E77D7F" w:rsidRPr="00B52089">
        <w:rPr>
          <w:rFonts w:ascii="Arial" w:hAnsi="Arial" w:cs="Arial"/>
          <w:lang w:eastAsia="es-MX"/>
        </w:rPr>
        <w:t>Comapa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El </w:t>
      </w:r>
      <w:r w:rsidR="00A11316" w:rsidRPr="00B52089">
        <w:rPr>
          <w:rFonts w:ascii="Arial" w:hAnsi="Arial" w:cs="Arial"/>
          <w:lang w:eastAsia="es-MX"/>
        </w:rPr>
        <w:t>H</w:t>
      </w:r>
      <w:r w:rsidR="00E77D7F" w:rsidRPr="00B52089">
        <w:rPr>
          <w:rFonts w:ascii="Arial" w:hAnsi="Arial" w:cs="Arial"/>
          <w:lang w:eastAsia="es-MX"/>
        </w:rPr>
        <w:t xml:space="preserve">igo, Espinal, Fortín de las Flores, Huatusco, </w:t>
      </w:r>
      <w:proofErr w:type="spellStart"/>
      <w:r w:rsidR="00E77D7F" w:rsidRPr="00B52089">
        <w:rPr>
          <w:rFonts w:ascii="Arial" w:hAnsi="Arial" w:cs="Arial"/>
          <w:lang w:eastAsia="es-MX"/>
        </w:rPr>
        <w:t>Hueyapan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 de Ocampo, </w:t>
      </w:r>
      <w:proofErr w:type="spellStart"/>
      <w:r w:rsidR="00E77D7F" w:rsidRPr="00B52089">
        <w:rPr>
          <w:rFonts w:ascii="Arial" w:hAnsi="Arial" w:cs="Arial"/>
          <w:lang w:eastAsia="es-MX"/>
        </w:rPr>
        <w:t>Ilamatlán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Ixcatepec, Ixhuatlán del Café, </w:t>
      </w:r>
      <w:proofErr w:type="spellStart"/>
      <w:r w:rsidR="00E77D7F" w:rsidRPr="00B52089">
        <w:rPr>
          <w:rFonts w:ascii="Arial" w:hAnsi="Arial" w:cs="Arial"/>
          <w:lang w:eastAsia="es-MX"/>
        </w:rPr>
        <w:t>Ixtaczoquitlán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</w:t>
      </w:r>
      <w:proofErr w:type="spellStart"/>
      <w:r w:rsidR="00E77D7F" w:rsidRPr="00B52089">
        <w:rPr>
          <w:rFonts w:ascii="Arial" w:hAnsi="Arial" w:cs="Arial"/>
          <w:lang w:eastAsia="es-MX"/>
        </w:rPr>
        <w:t>Jalacingo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Jalcomulco, Jamapa, Jilotepec, José Azueta, Juan Rodríguez Clara, La Antigua, Landero y Coss, Lerdo de Tejada, Los Reyes, </w:t>
      </w:r>
      <w:proofErr w:type="spellStart"/>
      <w:r w:rsidR="00E77D7F" w:rsidRPr="00B52089">
        <w:rPr>
          <w:rFonts w:ascii="Arial" w:hAnsi="Arial" w:cs="Arial"/>
          <w:lang w:eastAsia="es-MX"/>
        </w:rPr>
        <w:t>Mecatlán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Medellín de Bravo, Misantla, </w:t>
      </w:r>
      <w:proofErr w:type="spellStart"/>
      <w:r w:rsidR="00E77D7F" w:rsidRPr="00B52089">
        <w:rPr>
          <w:rFonts w:ascii="Arial" w:hAnsi="Arial" w:cs="Arial"/>
          <w:lang w:eastAsia="es-MX"/>
        </w:rPr>
        <w:t>Mixtla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 de Altamirano, Nanchital, Naranjal, Naranjos </w:t>
      </w:r>
      <w:proofErr w:type="spellStart"/>
      <w:r w:rsidR="00E77D7F" w:rsidRPr="00B52089">
        <w:rPr>
          <w:rFonts w:ascii="Arial" w:hAnsi="Arial" w:cs="Arial"/>
          <w:lang w:eastAsia="es-MX"/>
        </w:rPr>
        <w:t>Amatlán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</w:t>
      </w:r>
      <w:proofErr w:type="spellStart"/>
      <w:r w:rsidR="00E77D7F" w:rsidRPr="00B52089">
        <w:rPr>
          <w:rFonts w:ascii="Arial" w:hAnsi="Arial" w:cs="Arial"/>
          <w:lang w:eastAsia="es-MX"/>
        </w:rPr>
        <w:t>Nautla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Nogales, Orizaba, </w:t>
      </w:r>
      <w:proofErr w:type="spellStart"/>
      <w:r w:rsidR="00E77D7F" w:rsidRPr="00B52089">
        <w:rPr>
          <w:rFonts w:ascii="Arial" w:hAnsi="Arial" w:cs="Arial"/>
          <w:lang w:eastAsia="es-MX"/>
        </w:rPr>
        <w:t>Ozuluama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Paso de Ovejas, Perote, Platón Sánchez, Puente Nacional, Rafael Delgado, Rafael Lucio, Sayula de Alemán, Soconusco, </w:t>
      </w:r>
      <w:proofErr w:type="spellStart"/>
      <w:r w:rsidR="00E77D7F" w:rsidRPr="00B52089">
        <w:rPr>
          <w:rFonts w:ascii="Arial" w:hAnsi="Arial" w:cs="Arial"/>
          <w:lang w:eastAsia="es-MX"/>
        </w:rPr>
        <w:t>Tamiahua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Tampico Alto, </w:t>
      </w:r>
      <w:proofErr w:type="spellStart"/>
      <w:r w:rsidR="00E77D7F" w:rsidRPr="00B52089">
        <w:rPr>
          <w:rFonts w:ascii="Arial" w:hAnsi="Arial" w:cs="Arial"/>
          <w:lang w:eastAsia="es-MX"/>
        </w:rPr>
        <w:t>Tantima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</w:t>
      </w:r>
      <w:proofErr w:type="spellStart"/>
      <w:r w:rsidR="00E77D7F" w:rsidRPr="00B52089">
        <w:rPr>
          <w:rFonts w:ascii="Arial" w:hAnsi="Arial" w:cs="Arial"/>
          <w:lang w:eastAsia="es-MX"/>
        </w:rPr>
        <w:t>Tatahuicapan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 de Juárez, </w:t>
      </w:r>
      <w:proofErr w:type="spellStart"/>
      <w:r w:rsidR="00E77D7F" w:rsidRPr="00B52089">
        <w:rPr>
          <w:rFonts w:ascii="Arial" w:hAnsi="Arial" w:cs="Arial"/>
          <w:lang w:eastAsia="es-MX"/>
        </w:rPr>
        <w:t>Tatatila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Tecolutla, Tehuipango, </w:t>
      </w:r>
      <w:proofErr w:type="spellStart"/>
      <w:r w:rsidR="00E77D7F" w:rsidRPr="00B52089">
        <w:rPr>
          <w:rFonts w:ascii="Arial" w:hAnsi="Arial" w:cs="Arial"/>
          <w:lang w:eastAsia="es-MX"/>
        </w:rPr>
        <w:t>Tenampa</w:t>
      </w:r>
      <w:proofErr w:type="spellEnd"/>
      <w:r w:rsidR="00E77D7F" w:rsidRPr="00B52089">
        <w:rPr>
          <w:rFonts w:ascii="Arial" w:hAnsi="Arial" w:cs="Arial"/>
          <w:lang w:eastAsia="es-MX"/>
        </w:rPr>
        <w:t xml:space="preserve">, Tepetlán, Tepetzintla, Texcatepec, </w:t>
      </w:r>
      <w:r w:rsidR="007161D7" w:rsidRPr="00B52089">
        <w:rPr>
          <w:rFonts w:ascii="Arial" w:hAnsi="Arial" w:cs="Arial"/>
          <w:lang w:eastAsia="es-MX"/>
        </w:rPr>
        <w:t>Texhuacá</w:t>
      </w:r>
      <w:r w:rsidR="00E77D7F" w:rsidRPr="00B52089">
        <w:rPr>
          <w:rFonts w:ascii="Arial" w:hAnsi="Arial" w:cs="Arial"/>
          <w:lang w:eastAsia="es-MX"/>
        </w:rPr>
        <w:t>n</w:t>
      </w:r>
      <w:r w:rsidR="007161D7" w:rsidRPr="00B52089">
        <w:rPr>
          <w:rFonts w:ascii="Arial" w:hAnsi="Arial" w:cs="Arial"/>
          <w:lang w:eastAsia="es-MX"/>
        </w:rPr>
        <w:t xml:space="preserve">, </w:t>
      </w:r>
      <w:proofErr w:type="spellStart"/>
      <w:r w:rsidR="00E77D7F" w:rsidRPr="00B52089">
        <w:rPr>
          <w:rFonts w:ascii="Arial" w:hAnsi="Arial" w:cs="Arial"/>
          <w:lang w:eastAsia="es-MX"/>
        </w:rPr>
        <w:t>Tihuatlán</w:t>
      </w:r>
      <w:proofErr w:type="spellEnd"/>
      <w:r w:rsidR="007161D7" w:rsidRPr="00B52089">
        <w:rPr>
          <w:rFonts w:ascii="Arial" w:hAnsi="Arial" w:cs="Arial"/>
          <w:lang w:eastAsia="es-MX"/>
        </w:rPr>
        <w:t xml:space="preserve">, </w:t>
      </w:r>
      <w:r w:rsidR="00E77D7F" w:rsidRPr="00B52089">
        <w:rPr>
          <w:rFonts w:ascii="Arial" w:hAnsi="Arial" w:cs="Arial"/>
          <w:lang w:eastAsia="es-MX"/>
        </w:rPr>
        <w:t>Tlachichilco</w:t>
      </w:r>
      <w:r w:rsidR="007161D7" w:rsidRPr="00B52089">
        <w:rPr>
          <w:rFonts w:ascii="Arial" w:hAnsi="Arial" w:cs="Arial"/>
          <w:lang w:eastAsia="es-MX"/>
        </w:rPr>
        <w:t xml:space="preserve">, </w:t>
      </w:r>
      <w:proofErr w:type="spellStart"/>
      <w:r w:rsidR="00E77D7F" w:rsidRPr="00B52089">
        <w:rPr>
          <w:rFonts w:ascii="Arial" w:hAnsi="Arial" w:cs="Arial"/>
          <w:lang w:eastAsia="es-MX"/>
        </w:rPr>
        <w:t>Tlacolulan</w:t>
      </w:r>
      <w:proofErr w:type="spellEnd"/>
      <w:r w:rsidR="007161D7" w:rsidRPr="00B52089">
        <w:rPr>
          <w:rFonts w:ascii="Arial" w:hAnsi="Arial" w:cs="Arial"/>
          <w:lang w:eastAsia="es-MX"/>
        </w:rPr>
        <w:t xml:space="preserve">, </w:t>
      </w:r>
      <w:r w:rsidR="00E77D7F" w:rsidRPr="00B52089">
        <w:rPr>
          <w:rFonts w:ascii="Arial" w:hAnsi="Arial" w:cs="Arial"/>
          <w:lang w:eastAsia="es-MX"/>
        </w:rPr>
        <w:t>Tlacotalpan</w:t>
      </w:r>
      <w:r w:rsidR="007161D7" w:rsidRPr="00B52089">
        <w:rPr>
          <w:rFonts w:ascii="Arial" w:hAnsi="Arial" w:cs="Arial"/>
          <w:lang w:eastAsia="es-MX"/>
        </w:rPr>
        <w:t xml:space="preserve">, </w:t>
      </w:r>
      <w:r w:rsidR="00E77D7F" w:rsidRPr="00B52089">
        <w:rPr>
          <w:rFonts w:ascii="Arial" w:hAnsi="Arial" w:cs="Arial"/>
          <w:lang w:eastAsia="es-MX"/>
        </w:rPr>
        <w:t xml:space="preserve">Tlacotepec de </w:t>
      </w:r>
      <w:r w:rsidR="007161D7" w:rsidRPr="00B52089">
        <w:rPr>
          <w:rFonts w:ascii="Arial" w:hAnsi="Arial" w:cs="Arial"/>
          <w:lang w:eastAsia="es-MX"/>
        </w:rPr>
        <w:t xml:space="preserve">Mejía, </w:t>
      </w:r>
      <w:proofErr w:type="spellStart"/>
      <w:r w:rsidR="00E77D7F" w:rsidRPr="00B52089">
        <w:rPr>
          <w:rFonts w:ascii="Arial" w:hAnsi="Arial" w:cs="Arial"/>
          <w:lang w:eastAsia="es-MX"/>
        </w:rPr>
        <w:t>Tlalnelhuayocan</w:t>
      </w:r>
      <w:proofErr w:type="spellEnd"/>
      <w:r w:rsidR="007161D7" w:rsidRPr="00B52089">
        <w:rPr>
          <w:rFonts w:ascii="Arial" w:hAnsi="Arial" w:cs="Arial"/>
          <w:lang w:eastAsia="es-MX"/>
        </w:rPr>
        <w:t xml:space="preserve">, </w:t>
      </w:r>
      <w:proofErr w:type="spellStart"/>
      <w:r w:rsidR="00E77D7F" w:rsidRPr="00B52089">
        <w:rPr>
          <w:rFonts w:ascii="Arial" w:hAnsi="Arial" w:cs="Arial"/>
          <w:lang w:eastAsia="es-MX"/>
        </w:rPr>
        <w:t>Tlapacoyan</w:t>
      </w:r>
      <w:proofErr w:type="spellEnd"/>
      <w:r w:rsidR="007161D7" w:rsidRPr="00B52089">
        <w:rPr>
          <w:rFonts w:ascii="Arial" w:hAnsi="Arial" w:cs="Arial"/>
          <w:lang w:eastAsia="es-MX"/>
        </w:rPr>
        <w:t xml:space="preserve">, </w:t>
      </w:r>
      <w:proofErr w:type="spellStart"/>
      <w:r w:rsidR="00E77D7F" w:rsidRPr="00B52089">
        <w:rPr>
          <w:rFonts w:ascii="Arial" w:hAnsi="Arial" w:cs="Arial"/>
          <w:lang w:eastAsia="es-MX"/>
        </w:rPr>
        <w:t>Tonayán</w:t>
      </w:r>
      <w:proofErr w:type="spellEnd"/>
      <w:r w:rsidR="007161D7" w:rsidRPr="00B52089">
        <w:rPr>
          <w:rFonts w:ascii="Arial" w:hAnsi="Arial" w:cs="Arial"/>
          <w:lang w:eastAsia="es-MX"/>
        </w:rPr>
        <w:t xml:space="preserve">, </w:t>
      </w:r>
      <w:proofErr w:type="spellStart"/>
      <w:r w:rsidR="00E77D7F" w:rsidRPr="00B52089">
        <w:rPr>
          <w:rFonts w:ascii="Arial" w:hAnsi="Arial" w:cs="Arial"/>
          <w:lang w:eastAsia="es-MX"/>
        </w:rPr>
        <w:t>Totutla</w:t>
      </w:r>
      <w:proofErr w:type="spellEnd"/>
      <w:r w:rsidR="007161D7" w:rsidRPr="00B52089">
        <w:rPr>
          <w:rFonts w:ascii="Arial" w:hAnsi="Arial" w:cs="Arial"/>
          <w:lang w:eastAsia="es-MX"/>
        </w:rPr>
        <w:t xml:space="preserve">, </w:t>
      </w:r>
      <w:r w:rsidR="00E77D7F" w:rsidRPr="00B52089">
        <w:rPr>
          <w:rFonts w:ascii="Arial" w:hAnsi="Arial" w:cs="Arial"/>
          <w:lang w:eastAsia="es-MX"/>
        </w:rPr>
        <w:t xml:space="preserve">Vega de </w:t>
      </w:r>
      <w:r w:rsidR="007161D7" w:rsidRPr="00B52089">
        <w:rPr>
          <w:rFonts w:ascii="Arial" w:hAnsi="Arial" w:cs="Arial"/>
          <w:lang w:eastAsia="es-MX"/>
        </w:rPr>
        <w:t>A</w:t>
      </w:r>
      <w:r w:rsidR="00E77D7F" w:rsidRPr="00B52089">
        <w:rPr>
          <w:rFonts w:ascii="Arial" w:hAnsi="Arial" w:cs="Arial"/>
          <w:lang w:eastAsia="es-MX"/>
        </w:rPr>
        <w:t>latorre</w:t>
      </w:r>
      <w:r w:rsidR="007161D7" w:rsidRPr="00B52089">
        <w:rPr>
          <w:rFonts w:ascii="Arial" w:hAnsi="Arial" w:cs="Arial"/>
          <w:lang w:eastAsia="es-MX"/>
        </w:rPr>
        <w:t xml:space="preserve">, </w:t>
      </w:r>
      <w:r w:rsidR="00E77D7F" w:rsidRPr="00B52089">
        <w:rPr>
          <w:rFonts w:ascii="Arial" w:hAnsi="Arial" w:cs="Arial"/>
          <w:lang w:eastAsia="es-MX"/>
        </w:rPr>
        <w:t>Veracruz</w:t>
      </w:r>
      <w:r w:rsidR="007161D7" w:rsidRPr="00B52089">
        <w:rPr>
          <w:rFonts w:ascii="Arial" w:hAnsi="Arial" w:cs="Arial"/>
          <w:lang w:eastAsia="es-MX"/>
        </w:rPr>
        <w:t xml:space="preserve">, </w:t>
      </w:r>
      <w:r w:rsidR="00E77D7F" w:rsidRPr="00B52089">
        <w:rPr>
          <w:rFonts w:ascii="Arial" w:hAnsi="Arial" w:cs="Arial"/>
          <w:lang w:eastAsia="es-MX"/>
        </w:rPr>
        <w:t xml:space="preserve">Villa </w:t>
      </w:r>
      <w:r w:rsidR="007161D7" w:rsidRPr="00B52089">
        <w:rPr>
          <w:rFonts w:ascii="Arial" w:hAnsi="Arial" w:cs="Arial"/>
          <w:lang w:eastAsia="es-MX"/>
        </w:rPr>
        <w:t>A</w:t>
      </w:r>
      <w:r w:rsidR="00E77D7F" w:rsidRPr="00B52089">
        <w:rPr>
          <w:rFonts w:ascii="Arial" w:hAnsi="Arial" w:cs="Arial"/>
          <w:lang w:eastAsia="es-MX"/>
        </w:rPr>
        <w:t>ldama</w:t>
      </w:r>
      <w:r w:rsidR="007161D7" w:rsidRPr="00B52089">
        <w:rPr>
          <w:rFonts w:ascii="Arial" w:hAnsi="Arial" w:cs="Arial"/>
          <w:lang w:eastAsia="es-MX"/>
        </w:rPr>
        <w:t xml:space="preserve">, </w:t>
      </w:r>
      <w:r w:rsidR="00E77D7F" w:rsidRPr="00B52089">
        <w:rPr>
          <w:rFonts w:ascii="Arial" w:hAnsi="Arial" w:cs="Arial"/>
          <w:lang w:eastAsia="es-MX"/>
        </w:rPr>
        <w:t>Xalapa</w:t>
      </w:r>
      <w:r w:rsidR="007161D7" w:rsidRPr="00B52089">
        <w:rPr>
          <w:rFonts w:ascii="Arial" w:hAnsi="Arial" w:cs="Arial"/>
          <w:lang w:eastAsia="es-MX"/>
        </w:rPr>
        <w:t xml:space="preserve">, </w:t>
      </w:r>
      <w:r w:rsidR="00E77D7F" w:rsidRPr="00B52089">
        <w:rPr>
          <w:rFonts w:ascii="Arial" w:hAnsi="Arial" w:cs="Arial"/>
          <w:lang w:eastAsia="es-MX"/>
        </w:rPr>
        <w:t>Yecuatla</w:t>
      </w:r>
      <w:r w:rsidR="007161D7" w:rsidRPr="00B52089">
        <w:rPr>
          <w:rFonts w:ascii="Arial" w:hAnsi="Arial" w:cs="Arial"/>
          <w:lang w:eastAsia="es-MX"/>
        </w:rPr>
        <w:t xml:space="preserve"> y </w:t>
      </w:r>
      <w:proofErr w:type="spellStart"/>
      <w:r w:rsidR="00E77D7F" w:rsidRPr="00B52089">
        <w:rPr>
          <w:rFonts w:ascii="Arial" w:hAnsi="Arial" w:cs="Arial"/>
          <w:lang w:eastAsia="es-MX"/>
        </w:rPr>
        <w:t>Zentla</w:t>
      </w:r>
      <w:proofErr w:type="spellEnd"/>
      <w:r w:rsidR="007161D7" w:rsidRPr="00B52089">
        <w:rPr>
          <w:rFonts w:ascii="Arial" w:hAnsi="Arial" w:cs="Arial"/>
          <w:lang w:eastAsia="es-MX"/>
        </w:rPr>
        <w:t>.</w:t>
      </w:r>
    </w:p>
    <w:p w:rsidR="003E790D" w:rsidRPr="00B52089" w:rsidRDefault="003E790D" w:rsidP="00E77D7F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A54F0C" w:rsidRPr="00B52089" w:rsidRDefault="003E790D" w:rsidP="003E790D">
      <w:pPr>
        <w:spacing w:after="0" w:line="240" w:lineRule="auto"/>
        <w:jc w:val="both"/>
        <w:rPr>
          <w:rFonts w:ascii="Arial" w:hAnsi="Arial" w:cs="Arial"/>
          <w:lang w:eastAsia="es-MX"/>
        </w:rPr>
      </w:pPr>
      <w:r w:rsidRPr="00B52089">
        <w:rPr>
          <w:rFonts w:ascii="Arial" w:hAnsi="Arial" w:cs="Arial"/>
          <w:lang w:eastAsia="es-MX"/>
        </w:rPr>
        <w:t>Posteriormente, se desarrollará un</w:t>
      </w:r>
      <w:r w:rsidR="005A78F2" w:rsidRPr="00B52089">
        <w:rPr>
          <w:rFonts w:ascii="Arial" w:hAnsi="Arial" w:cs="Arial"/>
          <w:lang w:eastAsia="es-MX"/>
        </w:rPr>
        <w:t>a segunda etapa</w:t>
      </w:r>
      <w:r w:rsidRPr="00B52089">
        <w:rPr>
          <w:rFonts w:ascii="Arial" w:hAnsi="Arial" w:cs="Arial"/>
          <w:lang w:eastAsia="es-MX"/>
        </w:rPr>
        <w:t xml:space="preserve"> del taller con estos municipios para </w:t>
      </w:r>
      <w:r w:rsidR="005A78F2" w:rsidRPr="00B52089">
        <w:rPr>
          <w:rFonts w:ascii="Arial" w:hAnsi="Arial" w:cs="Arial"/>
          <w:lang w:eastAsia="es-MX"/>
        </w:rPr>
        <w:t>compl</w:t>
      </w:r>
      <w:r w:rsidR="00A54F0C" w:rsidRPr="00B52089">
        <w:rPr>
          <w:rFonts w:ascii="Arial" w:hAnsi="Arial" w:cs="Arial"/>
          <w:lang w:eastAsia="es-MX"/>
        </w:rPr>
        <w:t xml:space="preserve">etar los objetivos del programa. </w:t>
      </w:r>
      <w:r w:rsidR="00A11316" w:rsidRPr="00B52089">
        <w:rPr>
          <w:rFonts w:ascii="Arial" w:hAnsi="Arial" w:cs="Arial"/>
          <w:lang w:eastAsia="es-MX"/>
        </w:rPr>
        <w:t xml:space="preserve">Como resultado, se tendrán desarrollados </w:t>
      </w:r>
      <w:r w:rsidR="002627DE" w:rsidRPr="00B52089">
        <w:rPr>
          <w:rFonts w:ascii="Arial" w:hAnsi="Arial" w:cs="Arial"/>
          <w:lang w:eastAsia="es-MX"/>
        </w:rPr>
        <w:t xml:space="preserve">antes de tiempo </w:t>
      </w:r>
      <w:r w:rsidR="00A11316" w:rsidRPr="00B52089">
        <w:rPr>
          <w:rFonts w:ascii="Arial" w:hAnsi="Arial" w:cs="Arial"/>
          <w:lang w:eastAsia="es-MX"/>
        </w:rPr>
        <w:t xml:space="preserve">los indicadores </w:t>
      </w:r>
      <w:r w:rsidR="002627DE" w:rsidRPr="00B52089">
        <w:rPr>
          <w:rFonts w:ascii="Arial" w:hAnsi="Arial" w:cs="Arial"/>
          <w:lang w:eastAsia="es-MX"/>
        </w:rPr>
        <w:t xml:space="preserve">para </w:t>
      </w:r>
      <w:r w:rsidR="002B69C7" w:rsidRPr="00B52089">
        <w:rPr>
          <w:rFonts w:ascii="Arial" w:hAnsi="Arial" w:cs="Arial"/>
          <w:lang w:eastAsia="es-MX"/>
        </w:rPr>
        <w:t xml:space="preserve">cuya creación </w:t>
      </w:r>
      <w:r w:rsidR="00A11316" w:rsidRPr="00B52089">
        <w:rPr>
          <w:rFonts w:ascii="Arial" w:hAnsi="Arial" w:cs="Arial"/>
          <w:lang w:eastAsia="es-MX"/>
        </w:rPr>
        <w:t xml:space="preserve">la Ley General dio </w:t>
      </w:r>
      <w:r w:rsidR="002627DE" w:rsidRPr="00B52089">
        <w:rPr>
          <w:rFonts w:ascii="Arial" w:hAnsi="Arial" w:cs="Arial"/>
          <w:lang w:eastAsia="es-MX"/>
        </w:rPr>
        <w:t xml:space="preserve">un plazo de seis meses </w:t>
      </w:r>
      <w:r w:rsidR="00A11316" w:rsidRPr="00B52089">
        <w:rPr>
          <w:rFonts w:ascii="Arial" w:hAnsi="Arial" w:cs="Arial"/>
          <w:lang w:eastAsia="es-MX"/>
        </w:rPr>
        <w:t>a partir del pasado 5 de mayo.</w:t>
      </w:r>
      <w:r w:rsidR="002627DE" w:rsidRPr="00B52089">
        <w:rPr>
          <w:rFonts w:ascii="Arial" w:hAnsi="Arial" w:cs="Arial"/>
          <w:lang w:eastAsia="es-MX"/>
        </w:rPr>
        <w:t xml:space="preserve"> Estos indicadores podrán servir a otros ayuntamientos que los podrán utilizar de base</w:t>
      </w:r>
      <w:r w:rsidR="002B69C7" w:rsidRPr="00B52089">
        <w:rPr>
          <w:rFonts w:ascii="Arial" w:hAnsi="Arial" w:cs="Arial"/>
          <w:lang w:eastAsia="es-MX"/>
        </w:rPr>
        <w:t>.</w:t>
      </w:r>
      <w:r w:rsidR="002627DE" w:rsidRPr="00B52089">
        <w:rPr>
          <w:rFonts w:ascii="Arial" w:hAnsi="Arial" w:cs="Arial"/>
          <w:lang w:eastAsia="es-MX"/>
        </w:rPr>
        <w:t xml:space="preserve"> </w:t>
      </w:r>
    </w:p>
    <w:p w:rsidR="00A11316" w:rsidRPr="00B52089" w:rsidRDefault="00A11316" w:rsidP="003E790D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p w:rsidR="003E790D" w:rsidRPr="00B52089" w:rsidRDefault="003E790D" w:rsidP="003E790D">
      <w:pPr>
        <w:spacing w:after="0" w:line="240" w:lineRule="auto"/>
        <w:jc w:val="both"/>
        <w:rPr>
          <w:rFonts w:ascii="Arial" w:hAnsi="Arial" w:cs="Arial"/>
          <w:lang w:eastAsia="es-MX"/>
        </w:rPr>
      </w:pPr>
      <w:r w:rsidRPr="00B52089">
        <w:rPr>
          <w:rFonts w:ascii="Arial" w:hAnsi="Arial" w:cs="Arial"/>
          <w:lang w:eastAsia="es-MX"/>
        </w:rPr>
        <w:t xml:space="preserve">La actualización profesional de los funcionarios de la administración pública municipal en temas de planeación </w:t>
      </w:r>
      <w:r w:rsidR="005A78F2" w:rsidRPr="00B52089">
        <w:rPr>
          <w:rFonts w:ascii="Arial" w:hAnsi="Arial" w:cs="Arial"/>
          <w:lang w:eastAsia="es-MX"/>
        </w:rPr>
        <w:t xml:space="preserve">que hoy hacen IVAI, ORFIS, INEGI e INVEDEM </w:t>
      </w:r>
      <w:r w:rsidRPr="00B52089">
        <w:rPr>
          <w:rFonts w:ascii="Arial" w:hAnsi="Arial" w:cs="Arial"/>
          <w:lang w:eastAsia="es-MX"/>
        </w:rPr>
        <w:t>será la pauta para mejorar las políticas de apertura</w:t>
      </w:r>
      <w:r w:rsidR="005A78F2" w:rsidRPr="00B52089">
        <w:rPr>
          <w:rFonts w:ascii="Arial" w:hAnsi="Arial" w:cs="Arial"/>
          <w:lang w:eastAsia="es-MX"/>
        </w:rPr>
        <w:t>, transparencia</w:t>
      </w:r>
      <w:r w:rsidRPr="00B52089">
        <w:rPr>
          <w:rFonts w:ascii="Arial" w:hAnsi="Arial" w:cs="Arial"/>
          <w:lang w:eastAsia="es-MX"/>
        </w:rPr>
        <w:t xml:space="preserve"> y rendición de cuentas en beneficio de la población.</w:t>
      </w:r>
    </w:p>
    <w:p w:rsidR="003E790D" w:rsidRPr="00B52089" w:rsidRDefault="003E790D" w:rsidP="00E77D7F">
      <w:pPr>
        <w:spacing w:after="0" w:line="240" w:lineRule="auto"/>
        <w:jc w:val="both"/>
        <w:rPr>
          <w:rFonts w:ascii="Arial" w:hAnsi="Arial" w:cs="Arial"/>
          <w:lang w:eastAsia="es-MX"/>
        </w:rPr>
      </w:pPr>
    </w:p>
    <w:sectPr w:rsidR="003E790D" w:rsidRPr="00B52089" w:rsidSect="00D5450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B8" w:rsidRDefault="005B0CB8" w:rsidP="00422CDF">
      <w:pPr>
        <w:spacing w:after="0" w:line="240" w:lineRule="auto"/>
      </w:pPr>
      <w:r>
        <w:separator/>
      </w:r>
    </w:p>
  </w:endnote>
  <w:endnote w:type="continuationSeparator" w:id="0">
    <w:p w:rsidR="005B0CB8" w:rsidRDefault="005B0CB8" w:rsidP="0042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98" w:rsidRDefault="007E7B9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5208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5208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E7B98" w:rsidRDefault="007E7B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B8" w:rsidRDefault="005B0CB8" w:rsidP="00422CDF">
      <w:pPr>
        <w:spacing w:after="0" w:line="240" w:lineRule="auto"/>
      </w:pPr>
      <w:r>
        <w:separator/>
      </w:r>
    </w:p>
  </w:footnote>
  <w:footnote w:type="continuationSeparator" w:id="0">
    <w:p w:rsidR="005B0CB8" w:rsidRDefault="005B0CB8" w:rsidP="0042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9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8674"/>
    </w:tblGrid>
    <w:tr w:rsidR="00242F03" w:rsidRPr="00242F03" w:rsidTr="00242F03"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:rsidR="00242F03" w:rsidRPr="00242F03" w:rsidRDefault="00422CDF" w:rsidP="00242F03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noProof/>
              <w:lang w:eastAsia="es-MX"/>
            </w:rPr>
            <w:t xml:space="preserve">                         </w:t>
          </w:r>
        </w:p>
      </w:tc>
      <w:tc>
        <w:tcPr>
          <w:tcW w:w="8674" w:type="dxa"/>
          <w:tcBorders>
            <w:top w:val="nil"/>
            <w:left w:val="nil"/>
            <w:bottom w:val="nil"/>
            <w:right w:val="nil"/>
          </w:tcBorders>
        </w:tcPr>
        <w:p w:rsidR="00242F03" w:rsidRPr="00242F03" w:rsidRDefault="00A821F8" w:rsidP="00242F03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4311015</wp:posOffset>
                </wp:positionH>
                <wp:positionV relativeFrom="paragraph">
                  <wp:posOffset>41275</wp:posOffset>
                </wp:positionV>
                <wp:extent cx="1099820" cy="252095"/>
                <wp:effectExtent l="0" t="0" r="0" b="0"/>
                <wp:wrapNone/>
                <wp:docPr id="18" name="Ima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0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60325</wp:posOffset>
                </wp:positionV>
                <wp:extent cx="981075" cy="385445"/>
                <wp:effectExtent l="0" t="0" r="0" b="0"/>
                <wp:wrapNone/>
                <wp:docPr id="17" name="Imagen 1" descr="http://www.orfis.gob.mx/imagenes/logocomunica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orfis.gob.mx/imagenes/logocomunicado.png"/>
                        <pic:cNvPicPr>
                          <a:picLocks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2F03" w:rsidRPr="00242F03">
            <w:rPr>
              <w:rFonts w:ascii="Times New Roman" w:eastAsia="Times New Roman" w:hAnsi="Times New Roman"/>
              <w:sz w:val="24"/>
              <w:szCs w:val="24"/>
              <w:lang w:eastAsia="ar-SA"/>
            </w:rPr>
            <w:t xml:space="preserve"> </w:t>
          </w:r>
        </w:p>
      </w:tc>
    </w:tr>
  </w:tbl>
  <w:p w:rsidR="00242F03" w:rsidRDefault="00A821F8" w:rsidP="00242F03">
    <w:pPr>
      <w:pStyle w:val="Encabezado"/>
      <w:rPr>
        <w:sz w:val="6"/>
        <w:szCs w:val="6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2918460</wp:posOffset>
          </wp:positionH>
          <wp:positionV relativeFrom="paragraph">
            <wp:posOffset>-227965</wp:posOffset>
          </wp:positionV>
          <wp:extent cx="270510" cy="549275"/>
          <wp:effectExtent l="0" t="0" r="0" b="0"/>
          <wp:wrapNone/>
          <wp:docPr id="21" name="Imagen 21" descr="Colores originales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1" descr="Colores originales_RGB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3394710</wp:posOffset>
          </wp:positionH>
          <wp:positionV relativeFrom="paragraph">
            <wp:posOffset>-199390</wp:posOffset>
          </wp:positionV>
          <wp:extent cx="954405" cy="520700"/>
          <wp:effectExtent l="0" t="0" r="0" b="0"/>
          <wp:wrapNone/>
          <wp:docPr id="19" name="Objeto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6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43" t="-620" r="-14961" b="-11041"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-160020</wp:posOffset>
          </wp:positionH>
          <wp:positionV relativeFrom="paragraph">
            <wp:posOffset>-227965</wp:posOffset>
          </wp:positionV>
          <wp:extent cx="1581150" cy="600075"/>
          <wp:effectExtent l="0" t="0" r="0" b="0"/>
          <wp:wrapNone/>
          <wp:docPr id="20" name="Imagen 12" descr="logo-invede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-invedem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4593" w:rsidRDefault="00784593" w:rsidP="00242F03">
    <w:pPr>
      <w:pStyle w:val="Encabezado"/>
      <w:rPr>
        <w:sz w:val="6"/>
        <w:szCs w:val="6"/>
      </w:rPr>
    </w:pPr>
  </w:p>
  <w:p w:rsidR="00784593" w:rsidRPr="00242F03" w:rsidRDefault="00784593" w:rsidP="00242F03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3675"/>
    <w:multiLevelType w:val="hybridMultilevel"/>
    <w:tmpl w:val="BA388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9483B"/>
    <w:multiLevelType w:val="hybridMultilevel"/>
    <w:tmpl w:val="A70E2EF4"/>
    <w:lvl w:ilvl="0" w:tplc="07F475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3893"/>
    <w:multiLevelType w:val="hybridMultilevel"/>
    <w:tmpl w:val="C8E8E844"/>
    <w:lvl w:ilvl="0" w:tplc="755239E2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B568D"/>
    <w:multiLevelType w:val="hybridMultilevel"/>
    <w:tmpl w:val="4A786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75BD"/>
    <w:multiLevelType w:val="hybridMultilevel"/>
    <w:tmpl w:val="5B5C64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239E2">
      <w:start w:val="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46"/>
    <w:rsid w:val="00025861"/>
    <w:rsid w:val="000A0BFB"/>
    <w:rsid w:val="000A68C9"/>
    <w:rsid w:val="001807EA"/>
    <w:rsid w:val="00242F03"/>
    <w:rsid w:val="0026139C"/>
    <w:rsid w:val="002627DE"/>
    <w:rsid w:val="00282BA3"/>
    <w:rsid w:val="002B4BAA"/>
    <w:rsid w:val="002B69C7"/>
    <w:rsid w:val="002E7777"/>
    <w:rsid w:val="00322028"/>
    <w:rsid w:val="00347E04"/>
    <w:rsid w:val="003A0DE7"/>
    <w:rsid w:val="003C0AFE"/>
    <w:rsid w:val="003E2E9D"/>
    <w:rsid w:val="003E790D"/>
    <w:rsid w:val="004120F8"/>
    <w:rsid w:val="00422CDF"/>
    <w:rsid w:val="00426C96"/>
    <w:rsid w:val="0043211C"/>
    <w:rsid w:val="00486F45"/>
    <w:rsid w:val="00492306"/>
    <w:rsid w:val="0053138A"/>
    <w:rsid w:val="00545DD0"/>
    <w:rsid w:val="00546896"/>
    <w:rsid w:val="00564E0F"/>
    <w:rsid w:val="00586020"/>
    <w:rsid w:val="005A4A3B"/>
    <w:rsid w:val="005A78F2"/>
    <w:rsid w:val="005B0CB8"/>
    <w:rsid w:val="005C361E"/>
    <w:rsid w:val="006A012B"/>
    <w:rsid w:val="007161D7"/>
    <w:rsid w:val="00776ECA"/>
    <w:rsid w:val="00784593"/>
    <w:rsid w:val="007A4007"/>
    <w:rsid w:val="007D3891"/>
    <w:rsid w:val="007E7B98"/>
    <w:rsid w:val="0086557A"/>
    <w:rsid w:val="008973A2"/>
    <w:rsid w:val="008A138A"/>
    <w:rsid w:val="008E7D25"/>
    <w:rsid w:val="008F542D"/>
    <w:rsid w:val="00904ACE"/>
    <w:rsid w:val="00907546"/>
    <w:rsid w:val="00980ED1"/>
    <w:rsid w:val="009817DC"/>
    <w:rsid w:val="009B6599"/>
    <w:rsid w:val="00A11316"/>
    <w:rsid w:val="00A54F0C"/>
    <w:rsid w:val="00A821F8"/>
    <w:rsid w:val="00AD7570"/>
    <w:rsid w:val="00B11A8E"/>
    <w:rsid w:val="00B51DC1"/>
    <w:rsid w:val="00B52089"/>
    <w:rsid w:val="00B67585"/>
    <w:rsid w:val="00B70568"/>
    <w:rsid w:val="00BB72C8"/>
    <w:rsid w:val="00BE4ED4"/>
    <w:rsid w:val="00C11B1E"/>
    <w:rsid w:val="00C72C69"/>
    <w:rsid w:val="00C90E99"/>
    <w:rsid w:val="00CA616E"/>
    <w:rsid w:val="00CF308B"/>
    <w:rsid w:val="00D1268E"/>
    <w:rsid w:val="00D258CF"/>
    <w:rsid w:val="00D54507"/>
    <w:rsid w:val="00D61677"/>
    <w:rsid w:val="00D919E2"/>
    <w:rsid w:val="00DC739B"/>
    <w:rsid w:val="00DE3381"/>
    <w:rsid w:val="00E00D66"/>
    <w:rsid w:val="00E42A02"/>
    <w:rsid w:val="00E47EDD"/>
    <w:rsid w:val="00E77D7F"/>
    <w:rsid w:val="00E92FBC"/>
    <w:rsid w:val="00E975DD"/>
    <w:rsid w:val="00ED569A"/>
    <w:rsid w:val="00EF175B"/>
    <w:rsid w:val="00FD60B9"/>
    <w:rsid w:val="00FE01B0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C6D0E9-39B5-D342-A390-4B89BEEE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507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75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22C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22CD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22C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2CDF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22CDF"/>
    <w:pPr>
      <w:ind w:left="720"/>
      <w:contextualSpacing/>
    </w:pPr>
  </w:style>
  <w:style w:type="paragraph" w:styleId="Sinespaciado">
    <w:name w:val="No Spacing"/>
    <w:uiPriority w:val="1"/>
    <w:qFormat/>
    <w:rsid w:val="0086557A"/>
    <w:rPr>
      <w:sz w:val="22"/>
      <w:szCs w:val="22"/>
      <w:lang w:val="es-MX" w:eastAsia="en-US"/>
    </w:rPr>
  </w:style>
  <w:style w:type="character" w:styleId="Textoennegrita">
    <w:name w:val="Strong"/>
    <w:qFormat/>
    <w:rsid w:val="00D25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orfis.gob.mx/imagenes/logocomunicad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4731</CharactersWithSpaces>
  <SharedDoc>false</SharedDoc>
  <HLinks>
    <vt:vector size="6" baseType="variant">
      <vt:variant>
        <vt:i4>2949238</vt:i4>
      </vt:variant>
      <vt:variant>
        <vt:i4>-1</vt:i4>
      </vt:variant>
      <vt:variant>
        <vt:i4>2065</vt:i4>
      </vt:variant>
      <vt:variant>
        <vt:i4>1</vt:i4>
      </vt:variant>
      <vt:variant>
        <vt:lpwstr>http://www.orfis.gob.mx/imagenes/logocomunicado.png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Robles</dc:creator>
  <cp:keywords/>
  <cp:lastModifiedBy>EsbeidyBlanco</cp:lastModifiedBy>
  <cp:revision>12</cp:revision>
  <cp:lastPrinted>2016-08-09T16:25:00Z</cp:lastPrinted>
  <dcterms:created xsi:type="dcterms:W3CDTF">2016-08-12T20:24:00Z</dcterms:created>
  <dcterms:modified xsi:type="dcterms:W3CDTF">2016-08-12T22:00:00Z</dcterms:modified>
</cp:coreProperties>
</file>