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FF" w:rsidRPr="00E71EFF" w:rsidRDefault="00E71EFF" w:rsidP="00E71EFF">
      <w:pPr>
        <w:jc w:val="center"/>
        <w:rPr>
          <w:rFonts w:ascii="Arial" w:hAnsi="Arial" w:cs="Arial"/>
          <w:sz w:val="24"/>
          <w:szCs w:val="24"/>
        </w:rPr>
      </w:pPr>
    </w:p>
    <w:p w:rsidR="00E71EFF" w:rsidRPr="00E71EFF" w:rsidRDefault="00E71EFF" w:rsidP="00E71EFF">
      <w:pPr>
        <w:jc w:val="center"/>
        <w:rPr>
          <w:rFonts w:ascii="Arial" w:hAnsi="Arial" w:cs="Arial"/>
          <w:sz w:val="24"/>
          <w:szCs w:val="24"/>
        </w:rPr>
      </w:pPr>
    </w:p>
    <w:p w:rsidR="00E71EFF" w:rsidRPr="00E71EFF" w:rsidRDefault="00E71EFF" w:rsidP="00E71EFF">
      <w:pPr>
        <w:jc w:val="center"/>
        <w:rPr>
          <w:rFonts w:ascii="Arial" w:hAnsi="Arial" w:cs="Arial"/>
          <w:sz w:val="24"/>
          <w:szCs w:val="24"/>
        </w:rPr>
      </w:pPr>
    </w:p>
    <w:p w:rsidR="00E71EFF" w:rsidRPr="00E71EFF" w:rsidRDefault="00E71EFF" w:rsidP="00E71EF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71EFF">
        <w:rPr>
          <w:rFonts w:ascii="Arial" w:hAnsi="Arial" w:cs="Arial"/>
          <w:sz w:val="24"/>
          <w:szCs w:val="24"/>
        </w:rPr>
        <w:t xml:space="preserve">Tabasco, sede del </w:t>
      </w:r>
      <w:r w:rsidRPr="00E71EFF">
        <w:rPr>
          <w:rFonts w:ascii="Arial" w:hAnsi="Arial" w:cs="Arial"/>
          <w:color w:val="000000"/>
          <w:sz w:val="24"/>
          <w:szCs w:val="24"/>
        </w:rPr>
        <w:t>1</w:t>
      </w:r>
      <w:r w:rsidRPr="00E71EFF">
        <w:rPr>
          <w:rFonts w:ascii="Arial" w:hAnsi="Arial" w:cs="Arial"/>
          <w:color w:val="000000"/>
          <w:sz w:val="24"/>
          <w:szCs w:val="24"/>
          <w:vertAlign w:val="superscript"/>
        </w:rPr>
        <w:t>er</w:t>
      </w:r>
      <w:r w:rsidRPr="00E71EFF">
        <w:rPr>
          <w:rFonts w:ascii="Arial" w:hAnsi="Arial" w:cs="Arial"/>
          <w:color w:val="000000"/>
          <w:sz w:val="24"/>
          <w:szCs w:val="24"/>
        </w:rPr>
        <w:t xml:space="preserve"> Encuentro de la región sur de los órganos garantes</w:t>
      </w:r>
    </w:p>
    <w:p w:rsidR="00E71EFF" w:rsidRPr="00E71EFF" w:rsidRDefault="00E71EFF" w:rsidP="00E71EFF">
      <w:pPr>
        <w:jc w:val="center"/>
        <w:rPr>
          <w:rFonts w:ascii="Arial" w:hAnsi="Arial" w:cs="Arial"/>
          <w:b/>
          <w:sz w:val="24"/>
          <w:szCs w:val="24"/>
          <w:lang w:val="es-ES_tradnl" w:eastAsia="es-MX"/>
        </w:rPr>
      </w:pPr>
    </w:p>
    <w:p w:rsidR="00E71EFF" w:rsidRPr="00E71EFF" w:rsidRDefault="00E71EFF" w:rsidP="00E71EFF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s-ES_tradnl" w:eastAsia="es-MX"/>
        </w:rPr>
      </w:pPr>
      <w:r w:rsidRPr="00E71EFF">
        <w:rPr>
          <w:rFonts w:ascii="Arial" w:hAnsi="Arial" w:cs="Arial"/>
          <w:b/>
          <w:sz w:val="28"/>
          <w:szCs w:val="28"/>
          <w:lang w:val="es-ES_tradnl" w:eastAsia="es-MX"/>
        </w:rPr>
        <w:t xml:space="preserve">Consejeros y comisionados se reúnen </w:t>
      </w:r>
    </w:p>
    <w:p w:rsidR="00E71EFF" w:rsidRPr="00E71EFF" w:rsidRDefault="00E71EFF" w:rsidP="00E71EFF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s-ES_tradnl" w:eastAsia="es-MX"/>
        </w:rPr>
      </w:pPr>
      <w:r w:rsidRPr="00E71EFF">
        <w:rPr>
          <w:rFonts w:ascii="Arial" w:hAnsi="Arial" w:cs="Arial"/>
          <w:b/>
          <w:sz w:val="28"/>
          <w:szCs w:val="28"/>
          <w:lang w:val="es-ES_tradnl" w:eastAsia="es-MX"/>
        </w:rPr>
        <w:t>para diseñar un código modelo de ética</w:t>
      </w:r>
    </w:p>
    <w:p w:rsidR="00E71EFF" w:rsidRPr="00E71EFF" w:rsidRDefault="00E71EFF" w:rsidP="00E71EFF">
      <w:pPr>
        <w:jc w:val="center"/>
        <w:rPr>
          <w:rFonts w:ascii="Arial" w:hAnsi="Arial" w:cs="Arial"/>
          <w:b/>
          <w:sz w:val="24"/>
          <w:szCs w:val="24"/>
          <w:lang w:val="es-ES_tradnl" w:eastAsia="es-MX"/>
        </w:rPr>
      </w:pPr>
    </w:p>
    <w:p w:rsidR="00E71EFF" w:rsidRPr="00E71EFF" w:rsidRDefault="00E71EFF" w:rsidP="00E71EF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E71EFF">
        <w:rPr>
          <w:rFonts w:ascii="Arial" w:hAnsi="Arial" w:cs="Arial"/>
          <w:sz w:val="24"/>
          <w:szCs w:val="24"/>
          <w:lang w:eastAsia="es-MX"/>
        </w:rPr>
        <w:t>Analizan el papel de los jueces en el combate a la corrupción</w:t>
      </w:r>
    </w:p>
    <w:p w:rsidR="00E71EFF" w:rsidRPr="00E71EFF" w:rsidRDefault="00E71EFF" w:rsidP="00E71EF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E71EFF">
        <w:rPr>
          <w:rFonts w:ascii="Arial" w:hAnsi="Arial" w:cs="Arial"/>
          <w:sz w:val="24"/>
          <w:szCs w:val="24"/>
          <w:lang w:eastAsia="es-MX"/>
        </w:rPr>
        <w:t>Ministro en retiro Mariano Azuela Güitrón imparte conferencia magistral</w:t>
      </w:r>
    </w:p>
    <w:p w:rsidR="00E71EFF" w:rsidRPr="00E71EFF" w:rsidRDefault="00E71EFF" w:rsidP="00E71EF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E71EFF">
        <w:rPr>
          <w:rFonts w:ascii="Arial" w:hAnsi="Arial" w:cs="Arial"/>
          <w:sz w:val="24"/>
          <w:szCs w:val="24"/>
          <w:lang w:eastAsia="es-MX"/>
        </w:rPr>
        <w:t>Participan investigadores y especialistas en la materia</w:t>
      </w:r>
    </w:p>
    <w:p w:rsidR="00E71EFF" w:rsidRPr="00E71EFF" w:rsidRDefault="00E71EFF" w:rsidP="00E71EFF">
      <w:pPr>
        <w:jc w:val="center"/>
        <w:rPr>
          <w:rFonts w:ascii="Arial" w:hAnsi="Arial" w:cs="Arial"/>
          <w:b/>
          <w:sz w:val="24"/>
          <w:szCs w:val="24"/>
          <w:highlight w:val="yellow"/>
          <w:lang w:val="es-ES_tradnl" w:eastAsia="es-MX"/>
        </w:rPr>
      </w:pPr>
    </w:p>
    <w:p w:rsidR="00E71EFF" w:rsidRPr="00E71EFF" w:rsidRDefault="00E71EFF" w:rsidP="00E71EFF">
      <w:pPr>
        <w:pStyle w:val="ecxmsonormal"/>
        <w:jc w:val="both"/>
        <w:rPr>
          <w:rFonts w:ascii="Arial" w:hAnsi="Arial" w:cs="Arial"/>
          <w:color w:val="000000"/>
        </w:rPr>
      </w:pPr>
      <w:r w:rsidRPr="00E71EFF">
        <w:rPr>
          <w:rFonts w:ascii="Arial" w:hAnsi="Arial" w:cs="Arial"/>
        </w:rPr>
        <w:t xml:space="preserve">Villahermosa, Tabasco., 12 de febrero de 2015.- </w:t>
      </w:r>
      <w:r w:rsidRPr="00E71EFF">
        <w:rPr>
          <w:rFonts w:ascii="Arial" w:hAnsi="Arial" w:cs="Arial"/>
          <w:color w:val="000000"/>
        </w:rPr>
        <w:t xml:space="preserve">Los órganos garantes que integran la región sur de la Conferencia Mexicana para el Acceso a la Información Pública (Comaip), en su constante búsqueda por delinear acciones que consoliden los avances que se han logrado en pro de la transparencia y la protección de datos personales y con un espíritu de corresponsabilidad, llevaron a cabo el </w:t>
      </w:r>
      <w:r w:rsidRPr="00E71EFF">
        <w:rPr>
          <w:rFonts w:ascii="Arial" w:hAnsi="Arial" w:cs="Arial"/>
          <w:i/>
          <w:color w:val="000000"/>
        </w:rPr>
        <w:t>1</w:t>
      </w:r>
      <w:r w:rsidRPr="00E71EFF">
        <w:rPr>
          <w:rFonts w:ascii="Arial" w:hAnsi="Arial" w:cs="Arial"/>
          <w:i/>
          <w:color w:val="000000"/>
          <w:vertAlign w:val="superscript"/>
        </w:rPr>
        <w:t>er</w:t>
      </w:r>
      <w:r w:rsidRPr="00E71EFF">
        <w:rPr>
          <w:rFonts w:ascii="Arial" w:hAnsi="Arial" w:cs="Arial"/>
          <w:i/>
          <w:color w:val="000000"/>
        </w:rPr>
        <w:t xml:space="preserve"> Encuentro regional sur de consejeros y comisionados</w:t>
      </w:r>
      <w:r w:rsidRPr="00E71EFF">
        <w:rPr>
          <w:rFonts w:ascii="Arial" w:hAnsi="Arial" w:cs="Arial"/>
          <w:color w:val="000000"/>
        </w:rPr>
        <w:t>, a fin de analizar y discutir la creación de un código modelo de ética que perfeccione el desempeño de los funcionarios públicos dedicados a esta materia.</w:t>
      </w:r>
    </w:p>
    <w:p w:rsidR="00E71EFF" w:rsidRPr="00E71EFF" w:rsidRDefault="00E71EFF" w:rsidP="00E71EFF">
      <w:pPr>
        <w:pStyle w:val="ecxmsonormal"/>
        <w:jc w:val="both"/>
        <w:rPr>
          <w:rFonts w:ascii="Arial" w:hAnsi="Arial" w:cs="Arial"/>
          <w:color w:val="000000"/>
        </w:rPr>
      </w:pPr>
      <w:r w:rsidRPr="00E71EFF">
        <w:rPr>
          <w:rFonts w:ascii="Arial" w:hAnsi="Arial" w:cs="Arial"/>
          <w:color w:val="000000"/>
        </w:rPr>
        <w:t xml:space="preserve">El Instituto Veracruzano de Acceso a la Información (IVAI), el </w:t>
      </w:r>
      <w:r w:rsidRPr="00E71EFF">
        <w:rPr>
          <w:rFonts w:ascii="Arial" w:hAnsi="Arial" w:cs="Arial"/>
        </w:rPr>
        <w:t>Instituto Tabasqueño de Acceso a la Información Pública</w:t>
      </w:r>
      <w:r w:rsidRPr="00E71EFF">
        <w:rPr>
          <w:rFonts w:ascii="Arial" w:hAnsi="Arial" w:cs="Arial"/>
          <w:color w:val="000000"/>
        </w:rPr>
        <w:t xml:space="preserve"> (ITAIP), el </w:t>
      </w:r>
      <w:r w:rsidRPr="00E71EFF">
        <w:rPr>
          <w:rFonts w:ascii="Arial" w:hAnsi="Arial" w:cs="Arial"/>
        </w:rPr>
        <w:t>Instituto de Acceso a la Información Pública</w:t>
      </w:r>
      <w:r w:rsidRPr="00E71EFF">
        <w:rPr>
          <w:rFonts w:ascii="Arial" w:hAnsi="Arial" w:cs="Arial"/>
          <w:color w:val="000000"/>
        </w:rPr>
        <w:t xml:space="preserve"> del Estado de Chiapas (IAIP), el Instituto de Transparencia y Acceso a la Información Pública de Quintana Roo (ITAIPQROO), el Instituto Estatal de Acceso a la Información Pública de Yucatán (INAIP) y la Comisión de Transparencia y Acceso a la Información Pública del Estado de Campeche (COTAIPEC) lograron reunir a diversos consejeros y comisionados del país y a cerca de 200 personas para sentar las bases de lo que puede ser un parteag</w:t>
      </w:r>
      <w:r w:rsidR="00890381">
        <w:rPr>
          <w:rFonts w:ascii="Arial" w:hAnsi="Arial" w:cs="Arial"/>
          <w:color w:val="000000"/>
        </w:rPr>
        <w:t>u</w:t>
      </w:r>
      <w:bookmarkStart w:id="0" w:name="_GoBack"/>
      <w:bookmarkEnd w:id="0"/>
      <w:r w:rsidRPr="00E71EFF">
        <w:rPr>
          <w:rFonts w:ascii="Arial" w:hAnsi="Arial" w:cs="Arial"/>
          <w:color w:val="000000"/>
        </w:rPr>
        <w:t>as en la persistente lucha contra la corrupción.</w:t>
      </w:r>
    </w:p>
    <w:p w:rsidR="00E71EFF" w:rsidRPr="00E71EFF" w:rsidRDefault="00E71EFF" w:rsidP="00E71EFF">
      <w:pPr>
        <w:pStyle w:val="ecxmsonormal"/>
        <w:jc w:val="both"/>
        <w:rPr>
          <w:rFonts w:ascii="Arial" w:hAnsi="Arial" w:cs="Arial"/>
          <w:color w:val="000000"/>
        </w:rPr>
      </w:pPr>
      <w:r w:rsidRPr="00E71EFF">
        <w:rPr>
          <w:rFonts w:ascii="Arial" w:hAnsi="Arial" w:cs="Arial"/>
          <w:color w:val="000000"/>
        </w:rPr>
        <w:t xml:space="preserve">Este importante evento contó con la participación </w:t>
      </w:r>
      <w:r w:rsidR="009451AA">
        <w:rPr>
          <w:rFonts w:ascii="Arial" w:hAnsi="Arial" w:cs="Arial"/>
          <w:color w:val="000000"/>
        </w:rPr>
        <w:t xml:space="preserve">de </w:t>
      </w:r>
      <w:r w:rsidRPr="00E71EFF">
        <w:rPr>
          <w:rFonts w:ascii="Arial" w:hAnsi="Arial" w:cs="Arial"/>
          <w:color w:val="000000"/>
        </w:rPr>
        <w:t>especialistas y personalidades relevantes como el Ministro en retiro Mariano Azuela Güitrón, quien dictó la conferencia magistral “Hacia un código modelo de ética para órganos garantes y titulares de unidades de acceso a la información”; y la Dra. Lourdes Morales Canales, Directora Ejecutiva de la Red por la Rendición de Cuentas (RRC), quien impartió la conferencia magistral “El papel que juegan los órganos garantes en el combate a la corrupción”.</w:t>
      </w:r>
    </w:p>
    <w:p w:rsidR="00E71EFF" w:rsidRPr="00E71EFF" w:rsidRDefault="00E71EFF">
      <w:pPr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71EFF">
        <w:rPr>
          <w:rFonts w:ascii="Arial" w:hAnsi="Arial" w:cs="Arial"/>
          <w:color w:val="000000"/>
          <w:sz w:val="24"/>
          <w:szCs w:val="24"/>
        </w:rPr>
        <w:br w:type="page"/>
      </w:r>
    </w:p>
    <w:p w:rsidR="00E71EFF" w:rsidRPr="00E71EFF" w:rsidRDefault="00E71EFF" w:rsidP="00E71EFF">
      <w:pPr>
        <w:pStyle w:val="ecxmsonormal"/>
        <w:jc w:val="both"/>
        <w:rPr>
          <w:rFonts w:ascii="Arial" w:hAnsi="Arial" w:cs="Arial"/>
          <w:color w:val="000000"/>
        </w:rPr>
      </w:pPr>
    </w:p>
    <w:p w:rsidR="00E71EFF" w:rsidRPr="00E71EFF" w:rsidRDefault="00E71EFF" w:rsidP="00E71EFF">
      <w:pPr>
        <w:pStyle w:val="ecxmsonormal"/>
        <w:jc w:val="both"/>
        <w:rPr>
          <w:rFonts w:ascii="Arial" w:hAnsi="Arial" w:cs="Arial"/>
          <w:color w:val="000000"/>
        </w:rPr>
      </w:pPr>
    </w:p>
    <w:p w:rsidR="00307103" w:rsidRDefault="00307103" w:rsidP="00E71EFF">
      <w:pPr>
        <w:pStyle w:val="ecxmsonormal"/>
        <w:jc w:val="both"/>
        <w:rPr>
          <w:rFonts w:ascii="Arial" w:hAnsi="Arial" w:cs="Arial"/>
          <w:color w:val="000000"/>
        </w:rPr>
      </w:pPr>
    </w:p>
    <w:p w:rsidR="00E71EFF" w:rsidRPr="00E71EFF" w:rsidRDefault="00E71EFF" w:rsidP="00E71EFF">
      <w:pPr>
        <w:pStyle w:val="ecxmsonormal"/>
        <w:jc w:val="both"/>
        <w:rPr>
          <w:rFonts w:ascii="Arial" w:hAnsi="Arial" w:cs="Arial"/>
          <w:color w:val="000000"/>
        </w:rPr>
      </w:pPr>
      <w:r w:rsidRPr="00E71EFF">
        <w:rPr>
          <w:rFonts w:ascii="Arial" w:hAnsi="Arial" w:cs="Arial"/>
          <w:color w:val="000000"/>
        </w:rPr>
        <w:t>Asimismo, el Magistrado de la Sala Regional Xalapa del Tribunal Electoral del Poder Judicial de la Federación (TEPJF), Octavio Ramos Ramos, dictó la conferencia magistral “Argumentación jurídica, control difuso y control de convencionalidad”; y el Dr. José Luis Ramírez Huanosto, asesor jurídico de la Sala Guadalajara del TEPJF, desarrolló la mesa plenaria “Análisis del papel que juega la ética en la impartición de justicia”.</w:t>
      </w:r>
    </w:p>
    <w:p w:rsidR="00E71EFF" w:rsidRPr="00E71EFF" w:rsidRDefault="00E71EFF" w:rsidP="00E71EFF">
      <w:pPr>
        <w:pStyle w:val="ecxmsonormal"/>
        <w:jc w:val="both"/>
        <w:rPr>
          <w:rFonts w:ascii="Arial" w:hAnsi="Arial" w:cs="Arial"/>
          <w:color w:val="000000"/>
        </w:rPr>
      </w:pPr>
      <w:r w:rsidRPr="00E71EFF">
        <w:rPr>
          <w:rFonts w:ascii="Arial" w:hAnsi="Arial" w:cs="Arial"/>
          <w:color w:val="000000"/>
        </w:rPr>
        <w:t>Mañana, en un segundo día de actividades, comisionados y consejeros del país llevarán a cabo el “Taller de discusión sobre decisiones judiciales de los órganos garantes”, donde a través de diversas mesas de análisis realizarán el estudio y debate de sentencias emitidas por los órganos de la región sur de la Comaip que destacan como casos relevantes.</w:t>
      </w:r>
    </w:p>
    <w:p w:rsidR="00E71EFF" w:rsidRPr="00E71EFF" w:rsidRDefault="00E71EFF" w:rsidP="00E71EFF">
      <w:pPr>
        <w:pStyle w:val="ecxmsonormal"/>
        <w:jc w:val="both"/>
        <w:rPr>
          <w:rFonts w:ascii="Arial" w:hAnsi="Arial" w:cs="Arial"/>
          <w:color w:val="000000"/>
        </w:rPr>
      </w:pPr>
      <w:r w:rsidRPr="00E71EFF">
        <w:rPr>
          <w:rFonts w:ascii="Arial" w:hAnsi="Arial" w:cs="Arial"/>
          <w:color w:val="000000"/>
        </w:rPr>
        <w:t xml:space="preserve">Las conclusiones de lo discutido se presentarán en una sesión plenaria, a fin de homogeneizar criterios y reforzar las posturas emitidas. Este ejercicio favorecerá la identificación de soluciones que permitan fortalecer la impartición de justicia en esta materia. </w:t>
      </w:r>
    </w:p>
    <w:p w:rsidR="00E71EFF" w:rsidRDefault="00E71EFF" w:rsidP="00E71EFF">
      <w:pPr>
        <w:pStyle w:val="ecxmsonormal"/>
        <w:jc w:val="both"/>
        <w:rPr>
          <w:rFonts w:ascii="Arial" w:hAnsi="Arial" w:cs="Arial"/>
          <w:color w:val="000000"/>
        </w:rPr>
      </w:pPr>
      <w:r w:rsidRPr="00E71EFF">
        <w:rPr>
          <w:rFonts w:ascii="Arial" w:hAnsi="Arial" w:cs="Arial"/>
          <w:color w:val="000000"/>
        </w:rPr>
        <w:t xml:space="preserve">El día de hoy en </w:t>
      </w:r>
      <w:r w:rsidR="00CA76BC">
        <w:rPr>
          <w:rFonts w:ascii="Arial" w:hAnsi="Arial" w:cs="Arial"/>
          <w:color w:val="000000"/>
        </w:rPr>
        <w:t xml:space="preserve">la mesa de </w:t>
      </w:r>
      <w:r w:rsidRPr="00E71EFF">
        <w:rPr>
          <w:rFonts w:ascii="Arial" w:hAnsi="Arial" w:cs="Arial"/>
          <w:color w:val="000000"/>
        </w:rPr>
        <w:t>inauguración estuvieron presentes, del Instituto Federal de Acceso a la Información y Protección de Datos (IFAI), la comisionada presidenta Ximena Puente de la Mora y el comisionado Rosendoevgueni Monterrey Chepov</w:t>
      </w:r>
      <w:r w:rsidR="00A330FD">
        <w:rPr>
          <w:rFonts w:ascii="Arial" w:hAnsi="Arial" w:cs="Arial"/>
          <w:color w:val="000000"/>
        </w:rPr>
        <w:t xml:space="preserve">; </w:t>
      </w:r>
      <w:r w:rsidR="00CA76BC">
        <w:rPr>
          <w:rFonts w:ascii="Arial" w:hAnsi="Arial" w:cs="Arial"/>
          <w:color w:val="000000"/>
        </w:rPr>
        <w:t xml:space="preserve">el Ministro en retiro Mariano Azuela Güitrón; </w:t>
      </w:r>
      <w:r w:rsidR="00A330FD">
        <w:rPr>
          <w:rFonts w:ascii="Arial" w:hAnsi="Arial" w:cs="Arial"/>
          <w:color w:val="000000"/>
        </w:rPr>
        <w:t xml:space="preserve">el consejero del IVAI, </w:t>
      </w:r>
      <w:r w:rsidRPr="00E71EFF">
        <w:rPr>
          <w:rFonts w:ascii="Arial" w:hAnsi="Arial" w:cs="Arial"/>
          <w:color w:val="000000"/>
        </w:rPr>
        <w:t xml:space="preserve">Fernando Aguilera de Hombre, como vicepresidente de la región sur de la Comaip; del ITAIP, la consejera presidenta Felícitas del Carmen Suárez Castro; </w:t>
      </w:r>
      <w:r w:rsidR="009451AA">
        <w:rPr>
          <w:rFonts w:ascii="Arial" w:hAnsi="Arial" w:cs="Arial"/>
          <w:color w:val="000000"/>
        </w:rPr>
        <w:t>el Secretario de Gobierno, Raúl Ojeda Zubieta;</w:t>
      </w:r>
      <w:r w:rsidR="00CA1CEF">
        <w:rPr>
          <w:rFonts w:ascii="Arial" w:hAnsi="Arial" w:cs="Arial"/>
          <w:color w:val="000000"/>
        </w:rPr>
        <w:t xml:space="preserve"> </w:t>
      </w:r>
      <w:r w:rsidR="00F5727E">
        <w:rPr>
          <w:rFonts w:ascii="Arial" w:hAnsi="Arial" w:cs="Arial"/>
          <w:color w:val="000000"/>
        </w:rPr>
        <w:t xml:space="preserve">la Magistrada de la Segunda Sala Penal, Lorena Concepción Gómez González; </w:t>
      </w:r>
      <w:r w:rsidR="00CA1CEF">
        <w:rPr>
          <w:rFonts w:ascii="Arial" w:hAnsi="Arial" w:cs="Arial"/>
          <w:color w:val="000000"/>
        </w:rPr>
        <w:t>y</w:t>
      </w:r>
      <w:r w:rsidR="009451AA">
        <w:rPr>
          <w:rFonts w:ascii="Arial" w:hAnsi="Arial" w:cs="Arial"/>
          <w:color w:val="000000"/>
        </w:rPr>
        <w:t xml:space="preserve"> el </w:t>
      </w:r>
      <w:r w:rsidR="00301FC3">
        <w:rPr>
          <w:rFonts w:ascii="Arial" w:hAnsi="Arial" w:cs="Arial"/>
          <w:color w:val="000000"/>
        </w:rPr>
        <w:t>Fiscal Superior del Estado de Tabasco, José del Carmen López Carrera.</w:t>
      </w:r>
    </w:p>
    <w:p w:rsidR="00F7416C" w:rsidRDefault="0016577B" w:rsidP="00E71EFF">
      <w:pPr>
        <w:pStyle w:val="ecxmsonormal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 las personalidades que asistieron</w:t>
      </w:r>
      <w:r w:rsidR="008F0522">
        <w:rPr>
          <w:rFonts w:ascii="Arial" w:hAnsi="Arial" w:cs="Arial"/>
          <w:color w:val="000000"/>
        </w:rPr>
        <w:t xml:space="preserve"> a este evento se encontraron los</w:t>
      </w:r>
      <w:r>
        <w:rPr>
          <w:rFonts w:ascii="Arial" w:hAnsi="Arial" w:cs="Arial"/>
          <w:color w:val="000000"/>
        </w:rPr>
        <w:t xml:space="preserve"> </w:t>
      </w:r>
      <w:r w:rsidR="008F0522">
        <w:rPr>
          <w:rFonts w:ascii="Arial" w:hAnsi="Arial" w:cs="Arial"/>
          <w:color w:val="000000"/>
        </w:rPr>
        <w:t xml:space="preserve">consejeros </w:t>
      </w:r>
      <w:r w:rsidR="00F32358">
        <w:rPr>
          <w:rFonts w:ascii="Arial" w:hAnsi="Arial" w:cs="Arial"/>
          <w:color w:val="000000"/>
        </w:rPr>
        <w:t xml:space="preserve">Yolli García Alvarez, </w:t>
      </w:r>
      <w:r w:rsidR="008F0522">
        <w:rPr>
          <w:rFonts w:ascii="Arial" w:hAnsi="Arial" w:cs="Arial"/>
          <w:color w:val="000000"/>
        </w:rPr>
        <w:t>Ana Elisa López Coello</w:t>
      </w:r>
      <w:r w:rsidR="00F7416C">
        <w:rPr>
          <w:rFonts w:ascii="Arial" w:hAnsi="Arial" w:cs="Arial"/>
          <w:color w:val="000000"/>
        </w:rPr>
        <w:t xml:space="preserve">, Mario Casimiro Vega Román, </w:t>
      </w:r>
      <w:r w:rsidR="008F0522">
        <w:rPr>
          <w:rFonts w:ascii="Arial" w:hAnsi="Arial" w:cs="Arial"/>
          <w:color w:val="000000"/>
        </w:rPr>
        <w:t>Adriana Patricia Espinoza Vázquez</w:t>
      </w:r>
      <w:r w:rsidR="00F7416C">
        <w:rPr>
          <w:rFonts w:ascii="Arial" w:hAnsi="Arial" w:cs="Arial"/>
          <w:color w:val="000000"/>
        </w:rPr>
        <w:t>,</w:t>
      </w:r>
      <w:r w:rsidR="008F0522">
        <w:rPr>
          <w:rFonts w:ascii="Arial" w:hAnsi="Arial" w:cs="Arial"/>
          <w:color w:val="000000"/>
        </w:rPr>
        <w:t xml:space="preserve"> María Aida González Sarmiento</w:t>
      </w:r>
      <w:r w:rsidR="00F7416C">
        <w:rPr>
          <w:rFonts w:ascii="Arial" w:hAnsi="Arial" w:cs="Arial"/>
          <w:color w:val="000000"/>
        </w:rPr>
        <w:t xml:space="preserve">, Sergio Mares Morán, Juan de Dios Villarreal </w:t>
      </w:r>
      <w:r w:rsidR="00B11CB9">
        <w:rPr>
          <w:rFonts w:ascii="Arial" w:hAnsi="Arial" w:cs="Arial"/>
          <w:color w:val="000000"/>
        </w:rPr>
        <w:t>González, Sergio Antonio Moncayo González</w:t>
      </w:r>
      <w:r w:rsidR="00977B86">
        <w:rPr>
          <w:rFonts w:ascii="Arial" w:hAnsi="Arial" w:cs="Arial"/>
          <w:color w:val="000000"/>
        </w:rPr>
        <w:t>, Víctor Manuel May Vera</w:t>
      </w:r>
      <w:r w:rsidR="00FA18EB">
        <w:rPr>
          <w:rFonts w:ascii="Arial" w:hAnsi="Arial" w:cs="Arial"/>
          <w:color w:val="000000"/>
        </w:rPr>
        <w:t>, Dora Ivonne Rosales Sotelo</w:t>
      </w:r>
      <w:r w:rsidR="00BA415D">
        <w:rPr>
          <w:rFonts w:ascii="Arial" w:hAnsi="Arial" w:cs="Arial"/>
          <w:color w:val="000000"/>
        </w:rPr>
        <w:t xml:space="preserve">, </w:t>
      </w:r>
      <w:r w:rsidR="007E515E">
        <w:rPr>
          <w:rFonts w:ascii="Arial" w:hAnsi="Arial" w:cs="Arial"/>
          <w:color w:val="000000"/>
        </w:rPr>
        <w:t xml:space="preserve">Josefina Román Vergara, </w:t>
      </w:r>
      <w:r w:rsidR="006C2E35">
        <w:rPr>
          <w:rFonts w:ascii="Arial" w:hAnsi="Arial" w:cs="Arial"/>
          <w:color w:val="000000"/>
        </w:rPr>
        <w:t xml:space="preserve">Arlen Siu Jaime Merlos, </w:t>
      </w:r>
      <w:r w:rsidR="00245DF0">
        <w:rPr>
          <w:rFonts w:ascii="Arial" w:hAnsi="Arial" w:cs="Arial"/>
          <w:color w:val="000000"/>
        </w:rPr>
        <w:t>Isidro Rodríguez Reyes</w:t>
      </w:r>
      <w:r w:rsidR="003C77B8">
        <w:rPr>
          <w:rFonts w:ascii="Arial" w:hAnsi="Arial" w:cs="Arial"/>
          <w:color w:val="000000"/>
        </w:rPr>
        <w:t xml:space="preserve"> y </w:t>
      </w:r>
      <w:r w:rsidR="00DE1BF9">
        <w:rPr>
          <w:rFonts w:ascii="Arial" w:hAnsi="Arial" w:cs="Arial"/>
          <w:color w:val="000000"/>
        </w:rPr>
        <w:t>José Antonio Bojórquez Pereznieto</w:t>
      </w:r>
      <w:r w:rsidR="003C77B8">
        <w:rPr>
          <w:rFonts w:ascii="Arial" w:hAnsi="Arial" w:cs="Arial"/>
          <w:color w:val="000000"/>
        </w:rPr>
        <w:t>.</w:t>
      </w:r>
      <w:r w:rsidR="00DE1BF9">
        <w:rPr>
          <w:rFonts w:ascii="Arial" w:hAnsi="Arial" w:cs="Arial"/>
          <w:color w:val="000000"/>
        </w:rPr>
        <w:t xml:space="preserve"> </w:t>
      </w:r>
    </w:p>
    <w:p w:rsidR="00E71EFF" w:rsidRPr="00E71EFF" w:rsidRDefault="00E71EFF" w:rsidP="00E71EFF">
      <w:pPr>
        <w:pStyle w:val="ecxmsonormal"/>
        <w:jc w:val="both"/>
        <w:rPr>
          <w:rFonts w:ascii="Arial" w:hAnsi="Arial" w:cs="Arial"/>
          <w:color w:val="000000"/>
        </w:rPr>
      </w:pPr>
      <w:r w:rsidRPr="00E71EFF">
        <w:rPr>
          <w:rFonts w:ascii="Arial" w:hAnsi="Arial" w:cs="Arial"/>
          <w:color w:val="000000"/>
        </w:rPr>
        <w:t xml:space="preserve">Para los órganos garantes convocantes, la exposición, discusión y armonización de diferentes puntos de vista durante el </w:t>
      </w:r>
      <w:r w:rsidRPr="00E71EFF">
        <w:rPr>
          <w:rFonts w:ascii="Arial" w:hAnsi="Arial" w:cs="Arial"/>
          <w:i/>
          <w:color w:val="000000"/>
        </w:rPr>
        <w:t>1</w:t>
      </w:r>
      <w:r w:rsidRPr="00E71EFF">
        <w:rPr>
          <w:rFonts w:ascii="Arial" w:hAnsi="Arial" w:cs="Arial"/>
          <w:i/>
          <w:color w:val="000000"/>
          <w:vertAlign w:val="superscript"/>
        </w:rPr>
        <w:t>er</w:t>
      </w:r>
      <w:r w:rsidRPr="00E71EFF">
        <w:rPr>
          <w:rFonts w:ascii="Arial" w:hAnsi="Arial" w:cs="Arial"/>
          <w:i/>
          <w:color w:val="000000"/>
        </w:rPr>
        <w:t xml:space="preserve"> Encuentro regional sur de consejeros y comisionados</w:t>
      </w:r>
      <w:r w:rsidRPr="00E71EFF">
        <w:rPr>
          <w:rFonts w:ascii="Arial" w:hAnsi="Arial" w:cs="Arial"/>
          <w:color w:val="000000"/>
        </w:rPr>
        <w:t xml:space="preserve"> incitan a una reflexión profunda sobre su función como impartidores de justicia e impulsan el planteamiento de estrategias y nuevos modelos que rompan los esquemas que sean contradictorios y antónimos de la efectividad y máximo beneficio del trabajo que realizan. </w:t>
      </w:r>
    </w:p>
    <w:p w:rsidR="000D3BEA" w:rsidRPr="00E71EFF" w:rsidRDefault="000D3BEA" w:rsidP="00E71EFF">
      <w:pPr>
        <w:rPr>
          <w:sz w:val="24"/>
          <w:szCs w:val="24"/>
        </w:rPr>
      </w:pPr>
    </w:p>
    <w:sectPr w:rsidR="000D3BEA" w:rsidRPr="00E71EFF" w:rsidSect="00A314F6">
      <w:headerReference w:type="default" r:id="rId7"/>
      <w:foot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A4" w:rsidRDefault="00323FA4" w:rsidP="00A314F6">
      <w:pPr>
        <w:spacing w:after="0" w:line="240" w:lineRule="auto"/>
      </w:pPr>
      <w:r>
        <w:separator/>
      </w:r>
    </w:p>
  </w:endnote>
  <w:endnote w:type="continuationSeparator" w:id="0">
    <w:p w:rsidR="00323FA4" w:rsidRDefault="00323FA4" w:rsidP="00A3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8368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1754" w:rsidRDefault="00E71EFF" w:rsidP="00E71EFF">
            <w:pPr>
              <w:pStyle w:val="Piedepgina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77113C0" wp14:editId="480FB558">
                  <wp:extent cx="3380232" cy="585216"/>
                  <wp:effectExtent l="0" t="0" r="0" b="571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23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A314F6" w:rsidRDefault="00A314F6" w:rsidP="00A314F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A4" w:rsidRDefault="00323FA4" w:rsidP="00A314F6">
      <w:pPr>
        <w:spacing w:after="0" w:line="240" w:lineRule="auto"/>
      </w:pPr>
      <w:r>
        <w:separator/>
      </w:r>
    </w:p>
  </w:footnote>
  <w:footnote w:type="continuationSeparator" w:id="0">
    <w:p w:rsidR="00323FA4" w:rsidRDefault="00323FA4" w:rsidP="00A3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F6" w:rsidRDefault="00A314F6" w:rsidP="00A314F6">
    <w:pPr>
      <w:pStyle w:val="Encabezado"/>
      <w:rPr>
        <w:b/>
        <w:sz w:val="26"/>
        <w:szCs w:val="26"/>
      </w:rPr>
    </w:pPr>
    <w:r w:rsidRPr="00A314F6">
      <w:rPr>
        <w:b/>
        <w:noProof/>
        <w:sz w:val="26"/>
        <w:szCs w:val="26"/>
        <w:lang w:eastAsia="es-MX"/>
      </w:rPr>
      <w:drawing>
        <wp:anchor distT="0" distB="0" distL="114300" distR="114300" simplePos="0" relativeHeight="251658240" behindDoc="0" locked="0" layoutInCell="1" allowOverlap="1" wp14:anchorId="79959524" wp14:editId="7A877006">
          <wp:simplePos x="0" y="0"/>
          <wp:positionH relativeFrom="column">
            <wp:posOffset>2459990</wp:posOffset>
          </wp:positionH>
          <wp:positionV relativeFrom="paragraph">
            <wp:posOffset>-192405</wp:posOffset>
          </wp:positionV>
          <wp:extent cx="1744345" cy="1191895"/>
          <wp:effectExtent l="0" t="0" r="8255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cuentro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4F6" w:rsidRDefault="00A314F6" w:rsidP="00A314F6">
    <w:pPr>
      <w:pStyle w:val="Encabezad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C38FE"/>
    <w:multiLevelType w:val="hybridMultilevel"/>
    <w:tmpl w:val="3B1E52D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6"/>
    <w:rsid w:val="000D3BEA"/>
    <w:rsid w:val="000F2E1E"/>
    <w:rsid w:val="00121754"/>
    <w:rsid w:val="0016577B"/>
    <w:rsid w:val="00245DF0"/>
    <w:rsid w:val="002540FA"/>
    <w:rsid w:val="00301FC3"/>
    <w:rsid w:val="00307103"/>
    <w:rsid w:val="00323FA4"/>
    <w:rsid w:val="003C77B8"/>
    <w:rsid w:val="00512F8C"/>
    <w:rsid w:val="006C2E35"/>
    <w:rsid w:val="007E515E"/>
    <w:rsid w:val="00890381"/>
    <w:rsid w:val="008F0522"/>
    <w:rsid w:val="009451AA"/>
    <w:rsid w:val="00977B86"/>
    <w:rsid w:val="00995907"/>
    <w:rsid w:val="00A314F6"/>
    <w:rsid w:val="00A330FD"/>
    <w:rsid w:val="00B11CB9"/>
    <w:rsid w:val="00BA415D"/>
    <w:rsid w:val="00C75691"/>
    <w:rsid w:val="00CA1CEF"/>
    <w:rsid w:val="00CA76BC"/>
    <w:rsid w:val="00DE1BF9"/>
    <w:rsid w:val="00E71EFF"/>
    <w:rsid w:val="00F32358"/>
    <w:rsid w:val="00F5727E"/>
    <w:rsid w:val="00F7416C"/>
    <w:rsid w:val="00F77D3A"/>
    <w:rsid w:val="00F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16837-D3E9-4C14-8AFE-1519271C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4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4F6"/>
  </w:style>
  <w:style w:type="paragraph" w:styleId="Piedepgina">
    <w:name w:val="footer"/>
    <w:basedOn w:val="Normal"/>
    <w:link w:val="PiedepginaCar"/>
    <w:uiPriority w:val="99"/>
    <w:unhideWhenUsed/>
    <w:rsid w:val="00A314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4F6"/>
  </w:style>
  <w:style w:type="table" w:styleId="Tablaconcuadrcula">
    <w:name w:val="Table Grid"/>
    <w:basedOn w:val="Tablanormal"/>
    <w:uiPriority w:val="39"/>
    <w:rsid w:val="0025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71EF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EsbeidyBlanco</dc:creator>
  <cp:lastModifiedBy>EsbeidyBlanco</cp:lastModifiedBy>
  <cp:revision>28</cp:revision>
  <dcterms:created xsi:type="dcterms:W3CDTF">2015-02-12T12:25:00Z</dcterms:created>
  <dcterms:modified xsi:type="dcterms:W3CDTF">2015-06-09T16:28:00Z</dcterms:modified>
</cp:coreProperties>
</file>